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593064" w:rsidRDefault="00593064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  <w:r w:rsidRPr="00807173">
        <w:rPr>
          <w:b/>
        </w:rPr>
        <w:br/>
      </w:r>
      <w:r>
        <w:rPr>
          <w:b/>
        </w:rPr>
        <w:t>ИНСТРУКЦИЯ ПО СОГЛАСОВАНИЮ ИНФОРМАЦИИ МУНИЦИПАЛЬНЫХ ОБРАЗОВАНИЙ</w:t>
      </w:r>
      <w:r w:rsidRPr="00807173">
        <w:rPr>
          <w:b/>
        </w:rPr>
        <w:t xml:space="preserve"> СООТВЕТСТВИИ С ПРИКАЗОМ МИНФИНА РОССИИ ОТ 28.12.2018 Г.  №296Н «</w:t>
      </w:r>
      <w:r w:rsidRPr="00807173">
        <w:rPr>
          <w:rFonts w:eastAsia="Times New Roman"/>
          <w:b/>
        </w:rPr>
        <w:t>О ВНЕСЕНИИ ИЗМЕНЕНИЙ В ПРИКАЗ МИНИСТЕРСТВА ФИНА</w:t>
      </w:r>
      <w:r w:rsidRPr="00807173">
        <w:rPr>
          <w:b/>
        </w:rPr>
        <w:t>НСОВ РОССИЙСКОЙ ФЕДЕРАЦИИ ОТ 28.12.</w:t>
      </w:r>
      <w:r w:rsidRPr="00807173">
        <w:rPr>
          <w:rFonts w:eastAsia="Times New Roman"/>
          <w:b/>
        </w:rPr>
        <w:t>2016 Г. № 243Н «О СОСТАВЕ И ПОРЯДКЕ РАЗМЕЩЕНИЯ И ПРЕДОСТАВЛЕНИЯ ИНФОРМАЦИИ НА ЕДИНОМ ПОРТАЛЕ БЮДЖЕТН</w:t>
      </w:r>
      <w:r w:rsidRPr="00807173">
        <w:rPr>
          <w:b/>
        </w:rPr>
        <w:t>ОЙ СИСТЕМЫ РОССИЙСКОЙ ФЕДЕРАЦИИ» В ГОСУДАРСТВЕННОЙ ИНТЕГРИРОВАННОЙ ИНФОРМАЦИОННОЙ СИСТЕМЕ УПРАВЛЕНИЯ ОБЩЕСТВЕННЫМИ ФИНАНСАМИ «ЭЛЕКТРОННЫЙ БЮДЖЕТ» ДЛЯ ФИНАНСОВЫХ ОРГАНОВ</w:t>
      </w:r>
      <w:r>
        <w:rPr>
          <w:b/>
        </w:rPr>
        <w:t xml:space="preserve"> </w:t>
      </w:r>
      <w:r w:rsidR="00087057">
        <w:rPr>
          <w:b/>
        </w:rPr>
        <w:t xml:space="preserve">МУНИЦИПАЛЬНЫХ ОБРАЗОВАНИЙ / </w:t>
      </w:r>
      <w:r>
        <w:rPr>
          <w:b/>
        </w:rPr>
        <w:t>СУБЪЕКТОВ РОССИЙСКОЙ ФЕДЕРАЦИИ</w:t>
      </w: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spacing w:after="200" w:line="276" w:lineRule="auto"/>
        <w:jc w:val="center"/>
        <w:rPr>
          <w:b/>
        </w:rPr>
      </w:pPr>
    </w:p>
    <w:p w:rsidR="003A50A0" w:rsidRPr="00807173" w:rsidRDefault="003A50A0" w:rsidP="003A50A0">
      <w:pPr>
        <w:pageBreakBefore/>
        <w:spacing w:before="360" w:after="360"/>
        <w:jc w:val="center"/>
        <w:rPr>
          <w:b/>
          <w:caps/>
        </w:rPr>
      </w:pPr>
      <w:r w:rsidRPr="00807173">
        <w:rPr>
          <w:b/>
          <w:caps/>
        </w:rPr>
        <w:lastRenderedPageBreak/>
        <w:t>Перечень терминов и сокращений</w:t>
      </w:r>
    </w:p>
    <w:tbl>
      <w:tblPr>
        <w:tblW w:w="4978" w:type="pct"/>
        <w:jc w:val="center"/>
        <w:tblLayout w:type="fixed"/>
        <w:tblLook w:val="0000" w:firstRow="0" w:lastRow="0" w:firstColumn="0" w:lastColumn="0" w:noHBand="0" w:noVBand="0"/>
      </w:tblPr>
      <w:tblGrid>
        <w:gridCol w:w="2893"/>
        <w:gridCol w:w="6636"/>
      </w:tblGrid>
      <w:tr w:rsidR="003A50A0" w:rsidRPr="00807173" w:rsidTr="00A23C59">
        <w:trPr>
          <w:trHeight w:val="461"/>
          <w:jc w:val="center"/>
        </w:trPr>
        <w:tc>
          <w:tcPr>
            <w:tcW w:w="1518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БК</w:t>
            </w:r>
          </w:p>
        </w:tc>
        <w:tc>
          <w:tcPr>
            <w:tcW w:w="3482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Бюджетная классификация</w:t>
            </w:r>
          </w:p>
        </w:tc>
      </w:tr>
      <w:tr w:rsidR="003A50A0" w:rsidRPr="00807173" w:rsidTr="00A23C59">
        <w:trPr>
          <w:trHeight w:val="460"/>
          <w:jc w:val="center"/>
        </w:trPr>
        <w:tc>
          <w:tcPr>
            <w:tcW w:w="1518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ЕПБС</w:t>
            </w:r>
          </w:p>
        </w:tc>
        <w:tc>
          <w:tcPr>
            <w:tcW w:w="3482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Единый портал бюджетной системы Российской Федерации</w:t>
            </w:r>
          </w:p>
        </w:tc>
      </w:tr>
      <w:tr w:rsidR="003A50A0" w:rsidRPr="00807173" w:rsidTr="00A23C59">
        <w:trPr>
          <w:jc w:val="center"/>
        </w:trPr>
        <w:tc>
          <w:tcPr>
            <w:tcW w:w="1518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ФО</w:t>
            </w:r>
          </w:p>
        </w:tc>
        <w:tc>
          <w:tcPr>
            <w:tcW w:w="3482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 xml:space="preserve">Финансовый орган </w:t>
            </w:r>
          </w:p>
        </w:tc>
      </w:tr>
      <w:tr w:rsidR="003A50A0" w:rsidRPr="00807173" w:rsidTr="00A23C59">
        <w:trPr>
          <w:jc w:val="center"/>
        </w:trPr>
        <w:tc>
          <w:tcPr>
            <w:tcW w:w="1518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НПА</w:t>
            </w:r>
          </w:p>
        </w:tc>
        <w:tc>
          <w:tcPr>
            <w:tcW w:w="3482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Нормативный правовой акт</w:t>
            </w:r>
          </w:p>
        </w:tc>
      </w:tr>
      <w:tr w:rsidR="003A50A0" w:rsidRPr="00807173" w:rsidTr="00A23C59">
        <w:trPr>
          <w:jc w:val="center"/>
        </w:trPr>
        <w:tc>
          <w:tcPr>
            <w:tcW w:w="1518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МО</w:t>
            </w:r>
          </w:p>
        </w:tc>
        <w:tc>
          <w:tcPr>
            <w:tcW w:w="3482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Муниципальное образование</w:t>
            </w:r>
          </w:p>
        </w:tc>
      </w:tr>
      <w:tr w:rsidR="003A50A0" w:rsidRPr="00807173" w:rsidTr="00A23C59">
        <w:trPr>
          <w:jc w:val="center"/>
        </w:trPr>
        <w:tc>
          <w:tcPr>
            <w:tcW w:w="1518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Система</w:t>
            </w:r>
          </w:p>
        </w:tc>
        <w:tc>
          <w:tcPr>
            <w:tcW w:w="3482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Информационная система Министерства финансов Российской Федерации</w:t>
            </w:r>
          </w:p>
        </w:tc>
      </w:tr>
      <w:tr w:rsidR="003A50A0" w:rsidRPr="00807173" w:rsidTr="00A23C59">
        <w:trPr>
          <w:trHeight w:val="80"/>
          <w:jc w:val="center"/>
        </w:trPr>
        <w:tc>
          <w:tcPr>
            <w:tcW w:w="1518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ЭБ</w:t>
            </w:r>
          </w:p>
        </w:tc>
        <w:tc>
          <w:tcPr>
            <w:tcW w:w="3482" w:type="pct"/>
          </w:tcPr>
          <w:p w:rsidR="003A50A0" w:rsidRPr="00807173" w:rsidRDefault="003A50A0" w:rsidP="00A23C59">
            <w:pPr>
              <w:pStyle w:val="TableGraf14L"/>
              <w:spacing w:line="360" w:lineRule="auto"/>
            </w:pPr>
            <w:r w:rsidRPr="00807173"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  <w:p w:rsidR="003A50A0" w:rsidRPr="00807173" w:rsidRDefault="003A50A0" w:rsidP="00A23C59">
            <w:pPr>
              <w:pStyle w:val="TableGraf14L"/>
              <w:spacing w:line="360" w:lineRule="auto"/>
            </w:pPr>
          </w:p>
          <w:p w:rsidR="003A50A0" w:rsidRPr="00807173" w:rsidRDefault="003A50A0" w:rsidP="00A23C59">
            <w:pPr>
              <w:pStyle w:val="TableGraf14L"/>
              <w:spacing w:line="360" w:lineRule="auto"/>
            </w:pPr>
          </w:p>
          <w:p w:rsidR="003A50A0" w:rsidRPr="00807173" w:rsidRDefault="003A50A0" w:rsidP="00A23C59">
            <w:pPr>
              <w:pStyle w:val="TableGraf14L"/>
              <w:spacing w:line="360" w:lineRule="auto"/>
            </w:pPr>
          </w:p>
        </w:tc>
      </w:tr>
    </w:tbl>
    <w:p w:rsidR="003A50A0" w:rsidRDefault="003A50A0"/>
    <w:p w:rsidR="003A50A0" w:rsidRDefault="003A50A0">
      <w:pPr>
        <w:spacing w:after="160" w:line="259" w:lineRule="auto"/>
      </w:pPr>
      <w:r>
        <w:br w:type="page"/>
      </w:r>
    </w:p>
    <w:p w:rsidR="003A50A0" w:rsidRPr="003A50A0" w:rsidRDefault="00593064" w:rsidP="003A50A0">
      <w:pPr>
        <w:pStyle w:val="a3"/>
        <w:numPr>
          <w:ilvl w:val="0"/>
          <w:numId w:val="1"/>
        </w:numPr>
      </w:pPr>
      <w:r>
        <w:lastRenderedPageBreak/>
        <w:t xml:space="preserve">Согласование информации </w:t>
      </w:r>
      <w:r w:rsidR="00D17078">
        <w:t>осуществляется в реестре</w:t>
      </w:r>
      <w:r w:rsidR="003A50A0">
        <w:t xml:space="preserve"> </w:t>
      </w:r>
      <w:r w:rsidR="003A50A0" w:rsidRPr="003A50A0">
        <w:rPr>
          <w:b/>
        </w:rPr>
        <w:t>«Реестр согласования информации»</w:t>
      </w:r>
      <w:r w:rsidR="00D17078">
        <w:rPr>
          <w:b/>
        </w:rPr>
        <w:t xml:space="preserve"> </w:t>
      </w:r>
      <w:r w:rsidR="00D17078" w:rsidRPr="00D17078">
        <w:t>(Рисунок 1)</w:t>
      </w:r>
    </w:p>
    <w:p w:rsidR="003A50A0" w:rsidRPr="003A50A0" w:rsidRDefault="003A50A0" w:rsidP="003A50A0">
      <w:pPr>
        <w:pStyle w:val="a3"/>
      </w:pPr>
    </w:p>
    <w:p w:rsidR="003A50A0" w:rsidRDefault="003A50A0" w:rsidP="003A50A0">
      <w:pPr>
        <w:ind w:left="360"/>
      </w:pPr>
      <w:r>
        <w:rPr>
          <w:noProof/>
        </w:rPr>
        <w:drawing>
          <wp:inline distT="0" distB="0" distL="0" distR="0" wp14:anchorId="2EE481BD" wp14:editId="50D4E7D1">
            <wp:extent cx="5362702" cy="197540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6027" cy="20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078" w:rsidRDefault="00D17078" w:rsidP="00D17078">
      <w:pPr>
        <w:ind w:left="360"/>
        <w:jc w:val="center"/>
      </w:pPr>
      <w:r>
        <w:t>Рисунок 1. Реестр согласования информации</w:t>
      </w:r>
    </w:p>
    <w:p w:rsidR="003A50A0" w:rsidRDefault="003A50A0" w:rsidP="003A50A0">
      <w:pPr>
        <w:ind w:left="360"/>
      </w:pPr>
    </w:p>
    <w:p w:rsidR="0086522E" w:rsidRDefault="00A23C59" w:rsidP="00A23C59">
      <w:pPr>
        <w:pStyle w:val="a3"/>
        <w:numPr>
          <w:ilvl w:val="0"/>
          <w:numId w:val="1"/>
        </w:numPr>
      </w:pPr>
      <w:r>
        <w:t xml:space="preserve">В реестре </w:t>
      </w:r>
      <w:r w:rsidRPr="003A50A0">
        <w:rPr>
          <w:b/>
        </w:rPr>
        <w:t>«Реестр согласования информации»</w:t>
      </w:r>
      <w:r>
        <w:rPr>
          <w:b/>
        </w:rPr>
        <w:t xml:space="preserve"> </w:t>
      </w:r>
      <w:r>
        <w:t>н</w:t>
      </w:r>
      <w:r w:rsidR="0083489A">
        <w:t xml:space="preserve">аходим </w:t>
      </w:r>
      <w:r w:rsidR="00D17078">
        <w:t>необходимый для согласования документ</w:t>
      </w:r>
      <w:r w:rsidR="0083489A">
        <w:t xml:space="preserve"> </w:t>
      </w:r>
      <w:r w:rsidR="0083489A" w:rsidRPr="0083489A">
        <w:rPr>
          <w:lang w:val="en-US"/>
        </w:rPr>
        <w:sym w:font="Wingdings" w:char="F0E0"/>
      </w:r>
      <w:r w:rsidR="0083489A" w:rsidRPr="0083489A">
        <w:t xml:space="preserve"> </w:t>
      </w:r>
      <w:r w:rsidR="0083489A">
        <w:t>Выбираем его</w:t>
      </w:r>
    </w:p>
    <w:p w:rsidR="00262CFB" w:rsidRDefault="0083489A" w:rsidP="0086522E">
      <w:pPr>
        <w:pStyle w:val="a3"/>
      </w:pPr>
      <w:r>
        <w:t xml:space="preserve"> </w:t>
      </w:r>
    </w:p>
    <w:p w:rsidR="00D17078" w:rsidRDefault="0086522E" w:rsidP="00D17078">
      <w:pPr>
        <w:pStyle w:val="a3"/>
        <w:numPr>
          <w:ilvl w:val="0"/>
          <w:numId w:val="1"/>
        </w:numPr>
        <w:spacing w:after="160" w:line="259" w:lineRule="auto"/>
      </w:pPr>
      <w:r>
        <w:t>Если документ в реестре «Формирование информации для ЕПБС (за исключением федерального бюджета)» формировался городским или сельским поселением</w:t>
      </w:r>
      <w:r w:rsidR="00593064">
        <w:t xml:space="preserve"> / </w:t>
      </w:r>
      <w:r w:rsidR="00593064" w:rsidRPr="00593064">
        <w:t>внутригородск</w:t>
      </w:r>
      <w:r w:rsidR="00593064">
        <w:t>им</w:t>
      </w:r>
      <w:r w:rsidR="00593064" w:rsidRPr="00593064">
        <w:t xml:space="preserve"> район</w:t>
      </w:r>
      <w:r w:rsidR="00593064">
        <w:t>ом</w:t>
      </w:r>
      <w:r w:rsidR="00593064" w:rsidRPr="00593064">
        <w:t>, входящ</w:t>
      </w:r>
      <w:r w:rsidR="00593064">
        <w:t>им</w:t>
      </w:r>
      <w:r w:rsidR="00593064" w:rsidRPr="00593064">
        <w:t xml:space="preserve"> в состав городского округа с внутригородским делением</w:t>
      </w:r>
      <w:r>
        <w:t xml:space="preserve">, то сначала необходимо согласовать и утвердить документ со стороны </w:t>
      </w:r>
      <w:r w:rsidR="00593064">
        <w:t>муниципального района / городского округа</w:t>
      </w:r>
    </w:p>
    <w:p w:rsidR="00D17078" w:rsidRDefault="00D17078" w:rsidP="00D17078">
      <w:pPr>
        <w:pStyle w:val="a3"/>
        <w:spacing w:after="160" w:line="259" w:lineRule="auto"/>
        <w:ind w:left="360"/>
      </w:pPr>
    </w:p>
    <w:p w:rsidR="0086522E" w:rsidRDefault="0086522E" w:rsidP="00D17078">
      <w:pPr>
        <w:pStyle w:val="a3"/>
        <w:numPr>
          <w:ilvl w:val="0"/>
          <w:numId w:val="1"/>
        </w:numPr>
      </w:pPr>
      <w:r>
        <w:t>Если документ в реестре «Формирование информации для ЕПБС (за исключением федерального бюджета)»</w:t>
      </w:r>
      <w:r w:rsidRPr="00D17078">
        <w:rPr>
          <w:color w:val="FF0000"/>
        </w:rPr>
        <w:t xml:space="preserve"> </w:t>
      </w:r>
      <w:r>
        <w:t xml:space="preserve">формировался финансовым органом муниципального </w:t>
      </w:r>
      <w:r w:rsidR="00D17078">
        <w:t xml:space="preserve">района </w:t>
      </w:r>
      <w:r w:rsidR="00593064">
        <w:t>/</w:t>
      </w:r>
      <w:r w:rsidR="00D17078">
        <w:t xml:space="preserve"> </w:t>
      </w:r>
      <w:r w:rsidR="00593064">
        <w:t>городского округа</w:t>
      </w:r>
      <w:r>
        <w:t xml:space="preserve">, то он переходит на согласование финансовому органу субъекта </w:t>
      </w:r>
      <w:r w:rsidR="00D17078">
        <w:t>Р</w:t>
      </w:r>
      <w:r>
        <w:t>Ф</w:t>
      </w:r>
    </w:p>
    <w:p w:rsidR="0086522E" w:rsidRDefault="0086522E" w:rsidP="0086522E">
      <w:pPr>
        <w:pStyle w:val="a3"/>
      </w:pPr>
    </w:p>
    <w:p w:rsidR="00FA5360" w:rsidRDefault="00D17078" w:rsidP="00FA5360">
      <w:r>
        <w:t>Для согласования документа необходимо пройти следующие шаги:</w:t>
      </w:r>
    </w:p>
    <w:p w:rsidR="00BD389C" w:rsidRDefault="00BD389C" w:rsidP="00D17078">
      <w:pPr>
        <w:ind w:left="708"/>
      </w:pPr>
    </w:p>
    <w:p w:rsidR="0086522E" w:rsidRDefault="00FA5360" w:rsidP="00D17078">
      <w:pPr>
        <w:ind w:left="708"/>
      </w:pPr>
      <w:r>
        <w:t>1.</w:t>
      </w:r>
      <w:r w:rsidR="0086522E">
        <w:t xml:space="preserve">Согласование </w:t>
      </w:r>
      <w:r w:rsidR="0086522E" w:rsidRPr="0086522E">
        <w:rPr>
          <w:lang w:val="en-US"/>
        </w:rPr>
        <w:sym w:font="Wingdings" w:char="F0E0"/>
      </w:r>
      <w:r w:rsidR="0086522E" w:rsidRPr="00FA5360">
        <w:t xml:space="preserve"> </w:t>
      </w:r>
      <w:r w:rsidR="0086522E">
        <w:t xml:space="preserve">Резолюция </w:t>
      </w:r>
      <w:r w:rsidR="00D17078">
        <w:t>(Рисунок 2)</w:t>
      </w:r>
    </w:p>
    <w:p w:rsidR="0086522E" w:rsidRDefault="0086522E" w:rsidP="00FA5360">
      <w:r>
        <w:rPr>
          <w:noProof/>
        </w:rPr>
        <w:drawing>
          <wp:inline distT="0" distB="0" distL="0" distR="0" wp14:anchorId="240B5384" wp14:editId="1E8679C7">
            <wp:extent cx="6098323" cy="2743104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1564" cy="276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078" w:rsidRDefault="00D17078" w:rsidP="00D17078">
      <w:pPr>
        <w:jc w:val="center"/>
      </w:pPr>
      <w:r>
        <w:t>Рисунок 2. Окно формирования резолюции</w:t>
      </w:r>
    </w:p>
    <w:p w:rsidR="00D17078" w:rsidRDefault="00D17078" w:rsidP="00FA5360"/>
    <w:p w:rsidR="0086522E" w:rsidRDefault="00D17078" w:rsidP="00FA5360">
      <w:pPr>
        <w:rPr>
          <w:b/>
        </w:rPr>
      </w:pPr>
      <w:r>
        <w:rPr>
          <w:b/>
        </w:rPr>
        <w:lastRenderedPageBreak/>
        <w:t xml:space="preserve">Важно! </w:t>
      </w:r>
      <w:r w:rsidR="0086522E" w:rsidRPr="00D17078">
        <w:t>ФИО, должность, структурное подразделение автора резолюции заполняется автоматически на основании автора резолюции</w:t>
      </w:r>
      <w:r>
        <w:rPr>
          <w:b/>
        </w:rPr>
        <w:t>.</w:t>
      </w:r>
    </w:p>
    <w:p w:rsidR="00D17078" w:rsidRPr="00FA5360" w:rsidRDefault="00D17078" w:rsidP="00FA5360">
      <w:pPr>
        <w:rPr>
          <w:b/>
        </w:rPr>
      </w:pPr>
    </w:p>
    <w:p w:rsidR="002E4F66" w:rsidRDefault="00FA5360" w:rsidP="002E4F66">
      <w:pPr>
        <w:pStyle w:val="a3"/>
        <w:numPr>
          <w:ilvl w:val="1"/>
          <w:numId w:val="4"/>
        </w:numPr>
        <w:spacing w:after="160" w:line="259" w:lineRule="auto"/>
      </w:pPr>
      <w:r>
        <w:t xml:space="preserve">Если данные </w:t>
      </w:r>
      <w:r w:rsidR="00593064">
        <w:t>набора информации сформированы</w:t>
      </w:r>
      <w:r>
        <w:t xml:space="preserve"> некорректно, то </w:t>
      </w:r>
      <w:r w:rsidR="002E4F66">
        <w:t>накладывается</w:t>
      </w:r>
      <w:r>
        <w:t xml:space="preserve"> </w:t>
      </w:r>
      <w:r w:rsidRPr="002E4F66">
        <w:rPr>
          <w:b/>
        </w:rPr>
        <w:t>отрицательн</w:t>
      </w:r>
      <w:r w:rsidR="002E4F66">
        <w:rPr>
          <w:b/>
        </w:rPr>
        <w:t>ая</w:t>
      </w:r>
      <w:r w:rsidR="00D17078">
        <w:t xml:space="preserve"> резолюцию, с указанием причины отклонения</w:t>
      </w:r>
    </w:p>
    <w:p w:rsidR="00FA5360" w:rsidRDefault="002E4F66" w:rsidP="002E4F66">
      <w:pPr>
        <w:pStyle w:val="a3"/>
        <w:numPr>
          <w:ilvl w:val="1"/>
          <w:numId w:val="4"/>
        </w:numPr>
        <w:spacing w:after="160" w:line="259" w:lineRule="auto"/>
      </w:pPr>
      <w:r>
        <w:t xml:space="preserve">Если данные набора информации корректны, то накладывается </w:t>
      </w:r>
      <w:r w:rsidRPr="002E4F66">
        <w:rPr>
          <w:b/>
        </w:rPr>
        <w:t>положительная</w:t>
      </w:r>
      <w:r>
        <w:t xml:space="preserve"> резолюция</w:t>
      </w:r>
      <w:r w:rsidR="00FA5360">
        <w:t xml:space="preserve"> </w:t>
      </w:r>
    </w:p>
    <w:p w:rsidR="00FA5360" w:rsidRDefault="00FA5360" w:rsidP="00FA5360"/>
    <w:p w:rsidR="00FA5360" w:rsidRPr="002E4F66" w:rsidRDefault="00B6230E" w:rsidP="002E4F66">
      <w:pPr>
        <w:spacing w:after="160" w:line="259" w:lineRule="auto"/>
        <w:rPr>
          <w:b/>
        </w:rPr>
      </w:pPr>
      <w:r>
        <w:t xml:space="preserve">         2. </w:t>
      </w:r>
      <w:r w:rsidR="001A0D69">
        <w:t xml:space="preserve">После создания резолюции появится соответствующий статус в поле «Статус резолюции» </w:t>
      </w:r>
      <w:r w:rsidR="002E4F66">
        <w:t>(Рисунок 3)</w:t>
      </w:r>
    </w:p>
    <w:p w:rsidR="001A0D69" w:rsidRDefault="001A0D69" w:rsidP="00FA5360">
      <w:r>
        <w:rPr>
          <w:noProof/>
        </w:rPr>
        <w:drawing>
          <wp:inline distT="0" distB="0" distL="0" distR="0" wp14:anchorId="70EE4CCB" wp14:editId="35882FA2">
            <wp:extent cx="5870447" cy="293522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9512" cy="295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F66" w:rsidRDefault="002E4F66" w:rsidP="002E4F66">
      <w:pPr>
        <w:jc w:val="center"/>
      </w:pPr>
      <w:r>
        <w:t>Рисунок 3. Статус резолюции</w:t>
      </w:r>
    </w:p>
    <w:p w:rsidR="001A0D69" w:rsidRDefault="001A0D69" w:rsidP="00FA5360"/>
    <w:p w:rsidR="00DC3338" w:rsidRDefault="00B6230E" w:rsidP="00B6230E">
      <w:pPr>
        <w:ind w:firstLine="708"/>
      </w:pPr>
      <w:r>
        <w:t xml:space="preserve">3. </w:t>
      </w:r>
      <w:r w:rsidR="002E4F66">
        <w:t xml:space="preserve">Далее необходимо пройти в пункт </w:t>
      </w:r>
      <w:r w:rsidR="001A0D69">
        <w:t xml:space="preserve">Согласование </w:t>
      </w:r>
      <w:r w:rsidR="001A0D69" w:rsidRPr="001A0D69">
        <w:rPr>
          <w:lang w:val="en-US"/>
        </w:rPr>
        <w:sym w:font="Wingdings" w:char="F0E0"/>
      </w:r>
      <w:r w:rsidR="001A0D69" w:rsidRPr="002E4F66">
        <w:t xml:space="preserve"> </w:t>
      </w:r>
      <w:r w:rsidR="001A0D69">
        <w:t xml:space="preserve">Внешнее согласование </w:t>
      </w:r>
      <w:r w:rsidR="002E4F66">
        <w:t>(Рисунок 4)</w:t>
      </w:r>
    </w:p>
    <w:p w:rsidR="001A0D69" w:rsidRDefault="001A0D69" w:rsidP="00FA5360">
      <w:r>
        <w:rPr>
          <w:noProof/>
        </w:rPr>
        <w:drawing>
          <wp:inline distT="0" distB="0" distL="0" distR="0" wp14:anchorId="66C63049" wp14:editId="16B39DB2">
            <wp:extent cx="5898189" cy="2633472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9828" cy="265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F66" w:rsidRDefault="002E4F66" w:rsidP="002E4F66">
      <w:pPr>
        <w:jc w:val="center"/>
      </w:pPr>
      <w:r>
        <w:t>Рисунок 4. Внешнее согласование</w:t>
      </w:r>
    </w:p>
    <w:p w:rsidR="00B24E88" w:rsidRDefault="00B24E88" w:rsidP="002E4F66">
      <w:pPr>
        <w:jc w:val="center"/>
      </w:pPr>
    </w:p>
    <w:p w:rsidR="001A0D69" w:rsidRDefault="001A0D69" w:rsidP="00FA5360"/>
    <w:p w:rsidR="006837A9" w:rsidRDefault="006837A9" w:rsidP="00B6230E">
      <w:pPr>
        <w:pStyle w:val="a3"/>
        <w:numPr>
          <w:ilvl w:val="0"/>
          <w:numId w:val="5"/>
        </w:numPr>
      </w:pPr>
      <w:r>
        <w:t xml:space="preserve">Выбирается согласующий и утверждающий по кнопке «Добавить»  </w:t>
      </w:r>
      <w:r w:rsidRPr="006837A9">
        <w:rPr>
          <w:lang w:val="en-US"/>
        </w:rPr>
        <w:sym w:font="Wingdings" w:char="F0E0"/>
      </w:r>
      <w:r w:rsidRPr="006837A9">
        <w:t xml:space="preserve"> </w:t>
      </w:r>
      <w:r>
        <w:t>Сохранить (Рисунок 5)</w:t>
      </w:r>
    </w:p>
    <w:p w:rsidR="006837A9" w:rsidRDefault="006837A9" w:rsidP="006837A9">
      <w:pPr>
        <w:pStyle w:val="a3"/>
        <w:ind w:left="360"/>
      </w:pPr>
      <w:r>
        <w:rPr>
          <w:noProof/>
        </w:rPr>
        <w:lastRenderedPageBreak/>
        <w:drawing>
          <wp:inline distT="0" distB="0" distL="0" distR="0" wp14:anchorId="21A911FD" wp14:editId="6FDB5554">
            <wp:extent cx="5253454" cy="25603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9312" cy="2572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7A9" w:rsidRDefault="006837A9" w:rsidP="006837A9">
      <w:pPr>
        <w:pStyle w:val="a3"/>
        <w:ind w:left="360"/>
        <w:jc w:val="center"/>
      </w:pPr>
      <w:r>
        <w:t>Рисунок 5. Добавление согласующих и утверждающих</w:t>
      </w:r>
    </w:p>
    <w:p w:rsidR="006837A9" w:rsidRDefault="006837A9" w:rsidP="006837A9">
      <w:pPr>
        <w:pStyle w:val="a3"/>
        <w:ind w:left="360"/>
      </w:pPr>
    </w:p>
    <w:p w:rsidR="006837A9" w:rsidRDefault="006837A9" w:rsidP="00B6230E">
      <w:pPr>
        <w:pStyle w:val="a3"/>
        <w:numPr>
          <w:ilvl w:val="0"/>
          <w:numId w:val="5"/>
        </w:numPr>
      </w:pPr>
      <w:r>
        <w:t xml:space="preserve">Согласование </w:t>
      </w:r>
      <w:r w:rsidRPr="006837A9">
        <w:rPr>
          <w:lang w:val="en-US"/>
        </w:rPr>
        <w:sym w:font="Wingdings" w:char="F0E0"/>
      </w:r>
      <w:r w:rsidRPr="006837A9">
        <w:t xml:space="preserve"> </w:t>
      </w:r>
      <w:r>
        <w:t xml:space="preserve">Внешнее согласование </w:t>
      </w:r>
      <w:r w:rsidRPr="006837A9">
        <w:rPr>
          <w:lang w:val="en-US"/>
        </w:rPr>
        <w:sym w:font="Wingdings" w:char="F0E0"/>
      </w:r>
      <w:r w:rsidRPr="006837A9">
        <w:t xml:space="preserve"> </w:t>
      </w:r>
      <w:r>
        <w:t>Утверждено (если все з</w:t>
      </w:r>
      <w:r w:rsidR="00901BC5">
        <w:t>аполнено корректно) (Рисунок 6</w:t>
      </w:r>
      <w:r>
        <w:rPr>
          <w:noProof/>
        </w:rPr>
        <w:drawing>
          <wp:inline distT="0" distB="0" distL="0" distR="0" wp14:anchorId="0AB28C7C" wp14:editId="48F5D51B">
            <wp:extent cx="5402731" cy="320954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6409" cy="323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7A9" w:rsidRDefault="006837A9" w:rsidP="006837A9">
      <w:pPr>
        <w:pStyle w:val="a3"/>
        <w:ind w:left="360"/>
        <w:jc w:val="center"/>
      </w:pPr>
      <w:r>
        <w:t>Рисунок 6. Утверждение документа</w:t>
      </w:r>
    </w:p>
    <w:p w:rsidR="006837A9" w:rsidRDefault="006837A9" w:rsidP="006837A9">
      <w:pPr>
        <w:pStyle w:val="a3"/>
        <w:ind w:left="360"/>
      </w:pPr>
    </w:p>
    <w:p w:rsidR="006837A9" w:rsidRDefault="00B6230E" w:rsidP="00B6230E">
      <w:pPr>
        <w:ind w:firstLine="360"/>
      </w:pPr>
      <w:r>
        <w:t>5.1</w:t>
      </w:r>
      <w:r w:rsidR="006837A9">
        <w:t xml:space="preserve">Согласование </w:t>
      </w:r>
      <w:r w:rsidR="006837A9" w:rsidRPr="006837A9">
        <w:rPr>
          <w:lang w:val="en-US"/>
        </w:rPr>
        <w:sym w:font="Wingdings" w:char="F0E0"/>
      </w:r>
      <w:r w:rsidR="006837A9" w:rsidRPr="006837A9">
        <w:t xml:space="preserve"> </w:t>
      </w:r>
      <w:r w:rsidR="006837A9">
        <w:t xml:space="preserve">Внешнее согласование </w:t>
      </w:r>
      <w:r w:rsidR="006837A9" w:rsidRPr="006837A9">
        <w:rPr>
          <w:lang w:val="en-US"/>
        </w:rPr>
        <w:sym w:font="Wingdings" w:char="F0E0"/>
      </w:r>
      <w:r w:rsidR="006837A9">
        <w:t>Не</w:t>
      </w:r>
      <w:r w:rsidR="006837A9" w:rsidRPr="006837A9">
        <w:t xml:space="preserve"> </w:t>
      </w:r>
      <w:r w:rsidR="006837A9">
        <w:t>утверждено (Рисунок 6)</w:t>
      </w:r>
      <w:r w:rsidR="00F2377E">
        <w:t xml:space="preserve"> (если необходимо сбросить документ в реестре «Реестр согласования информации» в черновик)</w:t>
      </w:r>
    </w:p>
    <w:p w:rsidR="006837A9" w:rsidRPr="006837A9" w:rsidRDefault="00F2377E" w:rsidP="006837A9">
      <w:pPr>
        <w:pStyle w:val="a3"/>
        <w:ind w:left="420"/>
      </w:pPr>
      <w:r>
        <w:t xml:space="preserve">После этого Согласование </w:t>
      </w:r>
      <w:r w:rsidRPr="006837A9">
        <w:rPr>
          <w:lang w:val="en-US"/>
        </w:rPr>
        <w:sym w:font="Wingdings" w:char="F0E0"/>
      </w:r>
      <w:r w:rsidRPr="006837A9">
        <w:t xml:space="preserve"> </w:t>
      </w:r>
      <w:r>
        <w:t xml:space="preserve">Внешнее согласование </w:t>
      </w:r>
      <w:r w:rsidRPr="00F2377E">
        <w:rPr>
          <w:lang w:val="en-US"/>
        </w:rPr>
        <w:sym w:font="Wingdings" w:char="F0E0"/>
      </w:r>
      <w:r w:rsidRPr="00F2377E">
        <w:t xml:space="preserve"> </w:t>
      </w:r>
      <w:r>
        <w:t xml:space="preserve">В черновик </w:t>
      </w:r>
      <w:r w:rsidR="006837A9">
        <w:br/>
      </w:r>
    </w:p>
    <w:p w:rsidR="001A0D69" w:rsidRDefault="001A0D69" w:rsidP="00FA5360"/>
    <w:p w:rsidR="00B24E88" w:rsidRDefault="001A0D69" w:rsidP="00B6230E">
      <w:pPr>
        <w:pStyle w:val="a3"/>
        <w:numPr>
          <w:ilvl w:val="0"/>
          <w:numId w:val="5"/>
        </w:numPr>
      </w:pPr>
      <w:r>
        <w:lastRenderedPageBreak/>
        <w:t xml:space="preserve">После утверждения </w:t>
      </w:r>
      <w:r w:rsidR="00B24E88">
        <w:t>обновится</w:t>
      </w:r>
      <w:r>
        <w:t xml:space="preserve"> соответствующий статус в поле «Статус резолюци</w:t>
      </w:r>
      <w:r w:rsidR="00F2377E">
        <w:t xml:space="preserve">и» </w:t>
      </w:r>
      <w:r w:rsidR="006837A9">
        <w:t>и изменится цвет светофора.</w:t>
      </w:r>
      <w:r w:rsidR="00F2377E">
        <w:t xml:space="preserve"> (Рисунок 7)</w:t>
      </w:r>
      <w:r>
        <w:br/>
      </w:r>
      <w:r>
        <w:rPr>
          <w:noProof/>
        </w:rPr>
        <w:drawing>
          <wp:inline distT="0" distB="0" distL="0" distR="0" wp14:anchorId="196701DA" wp14:editId="38DDCD40">
            <wp:extent cx="5187354" cy="354787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2731" cy="355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77E" w:rsidRDefault="00F2377E" w:rsidP="00F2377E">
      <w:pPr>
        <w:pStyle w:val="a3"/>
        <w:ind w:left="360"/>
        <w:jc w:val="center"/>
      </w:pPr>
      <w:r>
        <w:t>Рисунок 7. Утвержденный документ</w:t>
      </w:r>
    </w:p>
    <w:p w:rsidR="00B24E88" w:rsidRDefault="00B24E88" w:rsidP="00593064"/>
    <w:p w:rsidR="00B24E88" w:rsidRDefault="00B24E88" w:rsidP="00593064">
      <w:r w:rsidRPr="00B24E88">
        <w:rPr>
          <w:b/>
        </w:rPr>
        <w:t>Важно!</w:t>
      </w:r>
      <w:r>
        <w:t xml:space="preserve"> Отправка документов происходит автоматически. </w:t>
      </w:r>
    </w:p>
    <w:p w:rsidR="001A0D69" w:rsidRDefault="00B24E88" w:rsidP="00593064">
      <w:pPr>
        <w:rPr>
          <w:b/>
        </w:rPr>
      </w:pPr>
      <w:r>
        <w:t>Ответственным за размещение информации является Единый портал.</w:t>
      </w:r>
      <w:r w:rsidR="001A0D69" w:rsidRPr="001A0D69">
        <w:br/>
      </w:r>
      <w:bookmarkStart w:id="0" w:name="_GoBack"/>
      <w:bookmarkEnd w:id="0"/>
    </w:p>
    <w:sectPr w:rsidR="001A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6124"/>
    <w:multiLevelType w:val="hybridMultilevel"/>
    <w:tmpl w:val="2FB481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E1197"/>
    <w:multiLevelType w:val="hybridMultilevel"/>
    <w:tmpl w:val="345E690C"/>
    <w:lvl w:ilvl="0" w:tplc="1F489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E6322C"/>
    <w:multiLevelType w:val="multilevel"/>
    <w:tmpl w:val="86749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22D1D75"/>
    <w:multiLevelType w:val="hybridMultilevel"/>
    <w:tmpl w:val="041E5322"/>
    <w:lvl w:ilvl="0" w:tplc="B16067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3753A"/>
    <w:multiLevelType w:val="multilevel"/>
    <w:tmpl w:val="FFACF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A0"/>
    <w:rsid w:val="00087057"/>
    <w:rsid w:val="001A0D69"/>
    <w:rsid w:val="00262CFB"/>
    <w:rsid w:val="002E4F66"/>
    <w:rsid w:val="003A50A0"/>
    <w:rsid w:val="005573F9"/>
    <w:rsid w:val="00593064"/>
    <w:rsid w:val="006837A9"/>
    <w:rsid w:val="007D5FAA"/>
    <w:rsid w:val="0083489A"/>
    <w:rsid w:val="0086522E"/>
    <w:rsid w:val="00901BC5"/>
    <w:rsid w:val="00A23C59"/>
    <w:rsid w:val="00B057A1"/>
    <w:rsid w:val="00B24E88"/>
    <w:rsid w:val="00B6230E"/>
    <w:rsid w:val="00BD389C"/>
    <w:rsid w:val="00D17078"/>
    <w:rsid w:val="00DC3338"/>
    <w:rsid w:val="00F2377E"/>
    <w:rsid w:val="00FA5360"/>
    <w:rsid w:val="00FC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Graf14L">
    <w:name w:val="Table_Graf_14L"/>
    <w:basedOn w:val="a"/>
    <w:qFormat/>
    <w:rsid w:val="003A50A0"/>
    <w:pPr>
      <w:tabs>
        <w:tab w:val="left" w:pos="1134"/>
      </w:tabs>
      <w:jc w:val="both"/>
    </w:pPr>
    <w:rPr>
      <w:rFonts w:eastAsia="Times New Roman"/>
      <w:spacing w:val="2"/>
      <w:lang w:eastAsia="en-US"/>
    </w:rPr>
  </w:style>
  <w:style w:type="paragraph" w:styleId="a3">
    <w:name w:val="List Paragraph"/>
    <w:basedOn w:val="a"/>
    <w:uiPriority w:val="34"/>
    <w:qFormat/>
    <w:rsid w:val="003A5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A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A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Graf14L">
    <w:name w:val="Table_Graf_14L"/>
    <w:basedOn w:val="a"/>
    <w:qFormat/>
    <w:rsid w:val="003A50A0"/>
    <w:pPr>
      <w:tabs>
        <w:tab w:val="left" w:pos="1134"/>
      </w:tabs>
      <w:jc w:val="both"/>
    </w:pPr>
    <w:rPr>
      <w:rFonts w:eastAsia="Times New Roman"/>
      <w:spacing w:val="2"/>
      <w:lang w:eastAsia="en-US"/>
    </w:rPr>
  </w:style>
  <w:style w:type="paragraph" w:styleId="a3">
    <w:name w:val="List Paragraph"/>
    <w:basedOn w:val="a"/>
    <w:uiPriority w:val="34"/>
    <w:qFormat/>
    <w:rsid w:val="003A5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A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F235-9F3F-4AFE-A4C0-1D6240AC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Геннадьевич Иванов</dc:creator>
  <cp:lastModifiedBy>Бабась А.А.</cp:lastModifiedBy>
  <cp:revision>2</cp:revision>
  <dcterms:created xsi:type="dcterms:W3CDTF">2020-02-03T07:59:00Z</dcterms:created>
  <dcterms:modified xsi:type="dcterms:W3CDTF">2020-02-03T07:59:00Z</dcterms:modified>
</cp:coreProperties>
</file>