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6000" w:after="280"/>
        <w:jc w:val="center"/>
        <w:rPr>
          <w:b/>
          <w:sz w:val="36"/>
        </w:rPr>
      </w:pPr>
      <w:r>
        <w:rPr>
          <w:b/>
          <w:sz w:val="36"/>
        </w:rPr>
        <w:t>Стандарт для внутреннего клиента</w:t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rFonts w:ascii="Arial" w:hAnsi="Arial"/>
          <w:color w:val="444444"/>
          <w:highlight w:val="white"/>
        </w:rPr>
      </w:pPr>
      <w:r>
        <w:rPr>
          <w:rFonts w:ascii="Arial" w:hAnsi="Arial"/>
          <w:color w:val="444444"/>
          <w:highlight w:val="white"/>
        </w:rPr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"/>
        <w:spacing w:before="280" w:after="28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start="1" w:fmt="decimal"/>
          <w:formProt w:val="false"/>
          <w:textDirection w:val="lrTb"/>
          <w:docGrid w:type="default" w:linePitch="100" w:charSpace="4294959103"/>
        </w:sectPr>
        <w:pStyle w:val="Normal"/>
        <w:jc w:val="center"/>
        <w:rPr>
          <w:sz w:val="26"/>
        </w:rPr>
      </w:pPr>
      <w:r>
        <w:rPr>
          <w:sz w:val="26"/>
        </w:rPr>
        <w:t>2022</w:t>
      </w:r>
    </w:p>
    <w:p>
      <w:pPr>
        <w:pStyle w:val="Normal"/>
        <w:rPr/>
      </w:pPr>
      <w:r>
        <w:rPr/>
        <w:t>Содержание: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3"/>
            </w:rPr>
            <w:instrText xml:space="preserve"> TOC \z \o "1-9" \h</w:instrText>
          </w:r>
          <w:r>
            <w:rPr>
              <w:webHidden/>
              <w:rStyle w:val="Style23"/>
            </w:rPr>
            <w:fldChar w:fldCharType="separate"/>
          </w:r>
          <w:hyperlink w:anchor="_Toc107913697">
            <w:r>
              <w:rPr>
                <w:webHidden/>
                <w:rStyle w:val="Style23"/>
              </w:rPr>
              <w:t>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Термины и определения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698">
            <w:r>
              <w:rPr>
                <w:webHidden/>
                <w:rStyle w:val="Style23"/>
              </w:rPr>
              <w:t>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Введение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699">
            <w:r>
              <w:rPr>
                <w:webHidden/>
                <w:rStyle w:val="Style23"/>
              </w:rPr>
              <w:t>3.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Нормативные основы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0">
            <w:r>
              <w:rPr>
                <w:webHidden/>
                <w:rStyle w:val="Style23"/>
              </w:rPr>
              <w:t>4.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1">
            <w:r>
              <w:rPr>
                <w:webHidden/>
                <w:rStyle w:val="Style23"/>
              </w:rPr>
              <w:t>5.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Руководящие принципы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2">
            <w:r>
              <w:rPr>
                <w:webHidden/>
                <w:rStyle w:val="Style23"/>
              </w:rPr>
              <w:t>6.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Организация работы органов и организаций на основе клиентоцентричного подхода.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3">
            <w:r>
              <w:rPr>
                <w:webHidden/>
                <w:rStyle w:val="Style23"/>
              </w:rPr>
              <w:t>7.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Реализации кадровой политики в органах и организациях с применением клиентоцентричного подхода.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none"/>
            </w:tabs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4">
            <w:r>
              <w:rPr>
                <w:webHidden/>
                <w:rStyle w:val="Style23"/>
              </w:rPr>
              <w:t>Привлечение и отбор сотрудников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none"/>
            </w:tabs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5">
            <w:r>
              <w:rPr>
                <w:webHidden/>
                <w:rStyle w:val="Style23"/>
              </w:rPr>
              <w:t>Адаптация нов</w:t>
            </w:r>
            <w:bookmarkStart w:id="0" w:name="_GoBack"/>
            <w:bookmarkEnd w:id="0"/>
            <w:r>
              <w:rPr>
                <w:rStyle w:val="Style23"/>
              </w:rPr>
              <w:t>ого сотрудника на государственной службе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none"/>
            </w:tabs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6">
            <w:r>
              <w:rPr>
                <w:webHidden/>
                <w:rStyle w:val="Style23"/>
              </w:rPr>
              <w:t>Мотивация сотрудников, их оценка и управление эффективностью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none"/>
            </w:tabs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7">
            <w:r>
              <w:rPr>
                <w:webHidden/>
                <w:rStyle w:val="Style23"/>
              </w:rPr>
              <w:t>Профессиональное развитие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right" w:pos="9345" w:leader="none"/>
            </w:tabs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8">
            <w:r>
              <w:rPr>
                <w:webHidden/>
                <w:rStyle w:val="Style23"/>
              </w:rPr>
              <w:t>Организационная культура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09">
            <w:r>
              <w:rPr>
                <w:webHidden/>
                <w:rStyle w:val="Style23"/>
              </w:rPr>
              <w:t>8.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Мониторинг и обратная связь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10">
            <w:r>
              <w:rPr>
                <w:webHidden/>
                <w:rStyle w:val="Style23"/>
              </w:rPr>
              <w:t>9.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Показатели клиентоцентричности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11">
            <w:r>
              <w:rPr>
                <w:webHidden/>
                <w:rStyle w:val="Style23"/>
              </w:rPr>
              <w:t>10.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Методики реализации Стандарта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12">
            <w:r>
              <w:rPr>
                <w:webHidden/>
                <w:rStyle w:val="Style23"/>
              </w:rPr>
              <w:t>11.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Основные направления внедрения Стандарта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07913713">
            <w:r>
              <w:rPr>
                <w:webHidden/>
                <w:rStyle w:val="Style23"/>
              </w:rPr>
              <w:t>12.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3"/>
              </w:rPr>
              <w:t>Внесение изменений и дополнений в Стандарт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_Toc107913713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3"/>
              <w:vanish w:val="false"/>
            </w:rPr>
            <w:fldChar w:fldCharType="end"/>
          </w:r>
        </w:p>
      </w:sdtContent>
    </w:sdt>
    <w:p>
      <w:pPr>
        <w:pStyle w:val="Normal"/>
        <w:widowControl/>
        <w:bidi w:val="0"/>
        <w:spacing w:lineRule="auto" w:line="264" w:before="0" w:after="160"/>
        <w:jc w:val="both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850" w:gutter="0" w:header="708" w:top="1134" w:footer="708" w:bottom="1134"/>
          <w:pgNumType w:start="1" w:fmt="decimal"/>
          <w:formProt w:val="false"/>
          <w:textDirection w:val="lrTb"/>
          <w:docGrid w:type="default" w:linePitch="100" w:charSpace="4294959103"/>
        </w:sectPr>
        <w:pStyle w:val="Normal"/>
        <w:rPr/>
      </w:pPr>
      <w:r>
        <w:rPr/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/>
      </w:pPr>
      <w:bookmarkStart w:id="1" w:name="_Toc107913697"/>
      <w:r>
        <w:rPr/>
        <w:t>Термины и определения</w:t>
      </w:r>
      <w:bookmarkEnd w:id="1"/>
    </w:p>
    <w:p>
      <w:pPr>
        <w:pStyle w:val="Normal"/>
        <w:spacing w:before="0" w:after="0"/>
        <w:ind w:firstLine="709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709"/>
        <w:rPr/>
      </w:pPr>
      <w:r>
        <w:rPr/>
        <w:t>Для целей настоящего Стандарта используются следующие понятия и термины:</w:t>
      </w:r>
    </w:p>
    <w:p>
      <w:pPr>
        <w:pStyle w:val="Normal"/>
        <w:spacing w:before="0" w:after="0"/>
        <w:ind w:firstLine="709"/>
        <w:rPr/>
      </w:pPr>
      <w:r>
        <w:rPr/>
      </w:r>
    </w:p>
    <w:p>
      <w:pPr>
        <w:pStyle w:val="Normal"/>
        <w:spacing w:before="0" w:after="0"/>
        <w:ind w:firstLine="709"/>
        <w:rPr/>
      </w:pPr>
      <w:r>
        <w:rPr>
          <w:b/>
        </w:rPr>
        <w:t>Клиент (внутренний клиент и внешний клиент)</w:t>
      </w:r>
      <w:r>
        <w:rPr/>
        <w:t xml:space="preserve"> — физическое или юридическое лицо, взаимодействующее с государством или муниципальным образованием с целью удовлетворения своих потребностей ;</w:t>
      </w:r>
    </w:p>
    <w:p>
      <w:pPr>
        <w:pStyle w:val="Normal"/>
        <w:spacing w:before="0" w:after="0"/>
        <w:ind w:firstLine="709"/>
        <w:rPr/>
      </w:pPr>
      <w:r>
        <w:rPr>
          <w:b/>
        </w:rPr>
        <w:t>Внутренний клиент (сотрудник)</w:t>
      </w:r>
      <w:r>
        <w:rPr/>
        <w:t xml:space="preserve"> — государственный или муниципальный служащий, работник подведомственной государственному или муниципальному органу организации, а также работники иных организации, уполномоченных в соответствии с законодательством или на основании договора на взаимодействие с внешними клиентами от лица органов государственной власти или органов местного самоуправления, государственных или муниципальных организации.  . 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b/>
        </w:rPr>
        <w:t xml:space="preserve">Внешний клиент </w:t>
      </w:r>
      <w:r>
        <w:rPr/>
        <w:t xml:space="preserve">— физическое или юридическое лицо, , взаимодействующие самостоятельно или через уполномоченного представителя с </w:t>
      </w:r>
      <w:r>
        <w:rPr>
          <w:color w:val="auto"/>
        </w:rPr>
        <w:t xml:space="preserve">федеральными органами исполнительной власти, органами исполнительной власти субъектов Российской Федерации, </w:t>
      </w:r>
      <w:r>
        <w:rPr>
          <w:szCs w:val="28"/>
        </w:rPr>
        <w:t xml:space="preserve">исполнительно-распорядительными </w:t>
      </w:r>
      <w:r>
        <w:rPr>
          <w:color w:val="auto"/>
        </w:rPr>
        <w:t xml:space="preserve">органами местного самоуправления, подведомственными им организациями, а также </w:t>
      </w:r>
      <w:r>
        <w:rPr/>
        <w:t>иными организациями, уполномоченными в соответствии с законодательством или на основании договора на взаимодействие с внешними клиентами от лица органов государственной власти или органов местного самоуправления, государственных или муниципальных организации (далее – органы и организации),</w:t>
      </w:r>
      <w:r>
        <w:rPr>
          <w:color w:val="auto"/>
        </w:rPr>
        <w:t xml:space="preserve">  с целью удовлетворения своих потребностей.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b/>
          <w:color w:val="auto"/>
        </w:rPr>
        <w:t>Клиентоцентричность</w:t>
      </w:r>
      <w:r>
        <w:rPr>
          <w:color w:val="auto"/>
        </w:rPr>
        <w:t xml:space="preserve"> — качество деятельности, характеризующееся постоянным изучением и удовлетворением законных и справедливых потребностей клиента.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b/>
          <w:color w:val="auto"/>
        </w:rPr>
        <w:t>Клиентоцентричный подход</w:t>
      </w:r>
      <w:r>
        <w:rPr>
          <w:color w:val="auto"/>
        </w:rPr>
        <w:t xml:space="preserve"> — подход, в основе которого лежит реализация в органах и организациях совокупности мероприятий, направленных на изучение (выявление) ожиданий (потребностей) клиента и удовлетворение его ожиданий (потребностей), </w:t>
        <w:br/>
        <w:t xml:space="preserve">с намерением превзойти ожидания (потребности) клиента. </w:t>
      </w:r>
    </w:p>
    <w:p>
      <w:pPr>
        <w:pStyle w:val="Normal"/>
        <w:spacing w:before="0" w:after="0"/>
        <w:ind w:firstLine="709"/>
        <w:rPr/>
      </w:pPr>
      <w:r>
        <w:rPr>
          <w:b/>
        </w:rPr>
        <w:t>Клиентский сценарий</w:t>
      </w:r>
      <w:r>
        <w:rPr/>
        <w:t xml:space="preserve"> — последовательное описание процессов, обеспечивающих предоставления услуг и сервисов или набора услуг </w:t>
        <w:br/>
        <w:t>и сервисов, а также осуществления иных функций, реализуемых органами и организациями  для удовлетворения потребностей внутреннего клиента.</w:t>
      </w:r>
    </w:p>
    <w:p>
      <w:pPr>
        <w:pStyle w:val="Normal"/>
        <w:spacing w:before="0" w:after="0"/>
        <w:ind w:firstLine="709"/>
        <w:rPr/>
      </w:pPr>
      <w:r>
        <w:rPr>
          <w:b/>
        </w:rPr>
        <w:t>Услуга</w:t>
      </w:r>
      <w:r>
        <w:rPr/>
        <w:t xml:space="preserve"> — деятельность, связанная с реализацией государственных </w:t>
        <w:br/>
        <w:t xml:space="preserve">и муниципальных услуг в значении Федерального закона от 27.07.2010 № 210-ФЗ «Об организации предоставления государственных </w:t>
        <w:br/>
        <w:t xml:space="preserve">и муниципальных услуг», либо иных услуг, предоставляемых государственными и муниципальными учреждениями, либо услуг, предоставляемых иными организациями, уполномоченными в соответствии </w:t>
        <w:br/>
        <w:t>с законодательством Российской Федерации,  а также  на основании договора, предоставлять услуги клиенту.</w:t>
      </w:r>
    </w:p>
    <w:p>
      <w:pPr>
        <w:pStyle w:val="Normal"/>
        <w:spacing w:before="0" w:after="0"/>
        <w:ind w:firstLine="709"/>
        <w:rPr/>
      </w:pPr>
      <w:r>
        <w:rPr>
          <w:b/>
        </w:rPr>
        <w:t>Сервис</w:t>
      </w:r>
      <w:r>
        <w:rPr/>
        <w:t xml:space="preserve"> —услуга, функция или их часть, реализуемая в электронном виде с применением информационных систем.</w:t>
      </w:r>
    </w:p>
    <w:p>
      <w:pPr>
        <w:pStyle w:val="Normal"/>
        <w:spacing w:before="0" w:after="0"/>
        <w:ind w:firstLine="709"/>
        <w:rPr/>
      </w:pPr>
      <w:r>
        <w:rPr>
          <w:b/>
        </w:rPr>
        <w:t>Проектный офис</w:t>
      </w:r>
      <w:r>
        <w:rPr/>
        <w:t xml:space="preserve"> — центр методологии и экспертизы внедрения клиентоцентричного подхода на федеральном, региональном, муниципальном уровнях управления.</w:t>
      </w:r>
    </w:p>
    <w:p>
      <w:pPr>
        <w:pStyle w:val="Normal"/>
        <w:spacing w:before="0" w:after="0"/>
        <w:ind w:firstLine="709"/>
        <w:rPr/>
      </w:pPr>
      <w:r>
        <w:rPr>
          <w:b/>
        </w:rPr>
        <w:t>Проектная команда</w:t>
      </w:r>
      <w:r>
        <w:rPr/>
        <w:t xml:space="preserve"> — группа лиц, которая выполняет работы проекта для достижения его целей.</w:t>
      </w:r>
    </w:p>
    <w:p>
      <w:pPr>
        <w:pStyle w:val="Normal"/>
        <w:spacing w:before="0" w:after="0"/>
        <w:ind w:firstLine="709"/>
        <w:rPr/>
      </w:pPr>
      <w:r>
        <w:rPr>
          <w:b/>
        </w:rPr>
        <w:t>Процессный подход</w:t>
      </w:r>
      <w:r>
        <w:rPr/>
        <w:t xml:space="preserve"> — подход к организации и управлению деятельностью органа и организации, в соответствии с которым деятельность осознается и управляется как система взаимосвязанных процессов. </w:t>
      </w:r>
    </w:p>
    <w:p>
      <w:pPr>
        <w:pStyle w:val="Normal"/>
        <w:spacing w:before="0" w:after="0"/>
        <w:ind w:firstLine="709"/>
        <w:rPr/>
      </w:pPr>
      <w:r>
        <w:rPr>
          <w:b/>
        </w:rPr>
        <w:t>Процесс</w:t>
      </w:r>
      <w:r>
        <w:rPr/>
        <w:t xml:space="preserve"> -совокупность взаимосвязанных действий и процедур, направленных на предоставление государственных и муниципальных услуг или исполнение государственных и муниципальных функций .</w:t>
      </w:r>
    </w:p>
    <w:p>
      <w:pPr>
        <w:pStyle w:val="Normal"/>
        <w:spacing w:before="0" w:after="0"/>
        <w:ind w:firstLine="709"/>
        <w:rPr/>
      </w:pPr>
      <w:r>
        <w:rPr>
          <w:b/>
        </w:rPr>
        <w:t>Реинжиниринг</w:t>
      </w:r>
      <w:r>
        <w:rPr/>
        <w:t xml:space="preserve"> — деятельность, основанная на методологии </w:t>
        <w:br/>
        <w:t>и технологиях, направленная на реформирование, проектирование или перепроектирование услуг и сервисов в целях оптимизации деятельности органов и организаций, для обеспечения соответствия предоставляемых услуг и сервисов требованиям клиентоцентричного подхода.</w:t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2" w:name="_Toc107913698"/>
      <w:bookmarkStart w:id="3" w:name="_heading=h.2et92p0"/>
      <w:bookmarkEnd w:id="3"/>
      <w:r>
        <w:rPr>
          <w:color w:val="auto"/>
        </w:rPr>
        <w:t>Введение</w:t>
      </w:r>
      <w:bookmarkEnd w:id="2"/>
      <w:r>
        <w:rPr>
          <w:color w:val="auto"/>
        </w:rPr>
        <w:t xml:space="preserve"> </w:t>
      </w:r>
    </w:p>
    <w:p>
      <w:pPr>
        <w:pStyle w:val="121"/>
        <w:numPr>
          <w:ilvl w:val="0"/>
          <w:numId w:val="2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Стандарт для внутреннего клиента (далее — Стандарт) направлен на внедрение клиентоцентричного подхода в деятельность органов и организаций посредством применения современных технологий построения процессов внутриведомственного и межведомственного взаимодействия, а также реализации в органах и организациях кадровой политики, основанной на принципах клиентоцентричности. . </w:t>
      </w:r>
    </w:p>
    <w:p>
      <w:pPr>
        <w:pStyle w:val="121"/>
        <w:numPr>
          <w:ilvl w:val="0"/>
          <w:numId w:val="2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Внедрение клиентоцентричного подхода в государственном </w:t>
        <w:br/>
        <w:t>и муниципальном управлении при реализации внутренним клиентом своих служебных обязанностей, в том числе при взаимодействии с физическими и юридическими лицами, осуществляется на основе Декларации ценностей клиентоцентричного государства в соответствии с требованиями, установленными настоящим Стандартом, а также стандартами «Государство для людей» и «Государство для бизнеса».</w:t>
      </w:r>
    </w:p>
    <w:p>
      <w:pPr>
        <w:pStyle w:val="121"/>
        <w:numPr>
          <w:ilvl w:val="0"/>
          <w:numId w:val="2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Применение настоящего Стандарта осуществляется при соблюдении требований действующего законодательства Российской Федерации и предполагает внедрение  новых технологий по проектированию и реинжинирингу внутриведомственных и межведомственных процессов, а также  осуществлению кадровой политики,  путем реализации клиентоцентричного подхода в органах и организациях.</w:t>
      </w:r>
    </w:p>
    <w:p>
      <w:pPr>
        <w:pStyle w:val="121"/>
        <w:numPr>
          <w:ilvl w:val="0"/>
          <w:numId w:val="2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Выполнение требований Стандарта способствует достижению следующих эффектов:</w:t>
      </w:r>
    </w:p>
    <w:p>
      <w:pPr>
        <w:pStyle w:val="119"/>
        <w:numPr>
          <w:ilvl w:val="0"/>
          <w:numId w:val="2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обеспечение престижа государственной и муниципальной службы, а также работы в подведомственных организациях;</w:t>
      </w:r>
    </w:p>
    <w:p>
      <w:pPr>
        <w:pStyle w:val="119"/>
        <w:numPr>
          <w:ilvl w:val="0"/>
          <w:numId w:val="2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развитие в органах и организациях культуры, основанной на приоритете результата для клиента над формальным подходом к выполнению должностных обязанностей;</w:t>
      </w:r>
    </w:p>
    <w:p>
      <w:pPr>
        <w:pStyle w:val="119"/>
        <w:numPr>
          <w:ilvl w:val="0"/>
          <w:numId w:val="2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обеспечение соответствия деятельности органов и организаций требуемому для клиентов уровню качества предоставляемых услуг </w:t>
        <w:br/>
        <w:t>и сервисов;</w:t>
      </w:r>
    </w:p>
    <w:p>
      <w:pPr>
        <w:pStyle w:val="119"/>
        <w:numPr>
          <w:ilvl w:val="0"/>
          <w:numId w:val="2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повышение уровня удовлетворенности и вовлеченности сотрудников органов и организаций.</w:t>
      </w:r>
    </w:p>
    <w:p>
      <w:pPr>
        <w:pStyle w:val="119"/>
        <w:numPr>
          <w:ilvl w:val="0"/>
          <w:numId w:val="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2.5.</w:t>
        <w:tab/>
        <w:t xml:space="preserve">Внедрение Стандарта осуществляется поэтапно в соответствии с внутренними регламентами и требованиями, установленными органами и организациями, а также с учетом иных стандартов и нормативных правовых актов, регулирующих сферы применения данного Стандарта. 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4" w:name="_Toc107913699"/>
      <w:r>
        <w:rPr>
          <w:color w:val="auto"/>
        </w:rPr>
        <w:t>Нормативные основы</w:t>
      </w:r>
      <w:bookmarkEnd w:id="4"/>
    </w:p>
    <w:p>
      <w:pPr>
        <w:pStyle w:val="121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Настоящий Стандарт разработан на основании паспорта федерального проекта «Государство для людей» а также Декларации ценностей клиентоцентричности, утвержденной </w:t>
      </w:r>
      <w:r>
        <w:rPr/>
        <w:t>протоколом проектного комитета федерального проекта «Клиентоцентричность» от 18 апреля 2022 г. № 1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5" w:name="_Toc107913700"/>
      <w:r>
        <w:rPr>
          <w:color w:val="auto"/>
        </w:rPr>
        <w:t>Общие положения</w:t>
      </w:r>
      <w:bookmarkEnd w:id="5"/>
    </w:p>
    <w:p>
      <w:pPr>
        <w:pStyle w:val="121"/>
        <w:numPr>
          <w:ilvl w:val="0"/>
          <w:numId w:val="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Стандарт устанавливает требования, которые необходимо соблюдать органам и организациям при применении клиентоцентричного подхода в рамках построения процессов внутриведомственного и межведомственного взаимодействия, а также реализации кадровой политики..</w:t>
      </w:r>
    </w:p>
    <w:p>
      <w:pPr>
        <w:pStyle w:val="121"/>
        <w:numPr>
          <w:ilvl w:val="0"/>
          <w:numId w:val="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 Стандарте представлены требования к: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проектированию новых и реинжинирингу действующих процессов органов и организаций с применением клиентоцентричного подхода;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постановке рабочих задач с применением клиентоцентричного подхода;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организации работы с документами и данными в органе и организации с применением клиентоцентричного подхода;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определению форматов работы сотрудников органов и организаций с применений клиентоцентричного подхода;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привлечению и отбору сотрудников;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адаптации нового сотрудника в органе и организации;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мотивации кадров, их оценке и управлению эффективностью;</w:t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профессиональному развитию и организационной культуре.</w:t>
      </w:r>
    </w:p>
    <w:p>
      <w:pPr>
        <w:pStyle w:val="121"/>
        <w:numPr>
          <w:ilvl w:val="0"/>
          <w:numId w:val="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Органы и организации должны придерживаться клиентоцентричного подхода при взаимодействии с внутренним клиентом </w:t>
        <w:br/>
        <w:t>и внешним клиентом вне зависимости от повода и формы такого взаимодействия.</w:t>
      </w:r>
    </w:p>
    <w:p>
      <w:pPr>
        <w:pStyle w:val="121"/>
        <w:numPr>
          <w:ilvl w:val="0"/>
          <w:numId w:val="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Качество деятельности органов и организаций определяется не только качеством предоставления услуг и сервисов, но и степенью удовлетворенности внутреннего клиента.</w:t>
      </w:r>
    </w:p>
    <w:p>
      <w:pPr>
        <w:pStyle w:val="121"/>
        <w:numPr>
          <w:ilvl w:val="0"/>
          <w:numId w:val="0"/>
        </w:numPr>
        <w:spacing w:before="0" w:after="0"/>
        <w:ind w:left="709" w:hanging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6" w:name="_Toc107913701"/>
      <w:r>
        <w:rPr>
          <w:color w:val="auto"/>
        </w:rPr>
        <w:t>Руководящие принципы</w:t>
      </w:r>
      <w:bookmarkEnd w:id="6"/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  <w:t>В соответствии с Декларацией ценностей клиентоцентричного государства в Стандарте применяются следующие принципы.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5.1. В части равного доступа: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Учитывать особенности каждого клиента и устранять административные и иные барьеры в рамках предоставления услуг и исполнения государственных (муниципальных) функций; 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Адаптировать услуги и государственные (муниципальные) функции под потребности человека. Органы и организации изучают потребности и опыт клиента и адаптируют процессы под него.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5.2. В части эффективности и удобства: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Решать задачи клиента, а не исполнять обязанности формально.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Находить и использовать наиболее простой и удобный путь к решению задачи. Клиенту предоставляется своевременное решение удобным для клиента способом. 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Обеспечивать экономическую эффективность процедур и правил. Затраты на выполнение государственных процедур, необходимых для реализации клиентом своих прав и выполнение установленных законом обязанностей, оправданы. Процедуры и правила оптимизируются в интересах клиента.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5.3. В части постоянного повышения качества и проактивности: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Действовать на опережение, повышая качество услуг и сервисов, оперативно устраняя выявляемые недостатки. Должна быть реализована система постоянного улучшения услуг и государственных (муниципальных) функций, поиска и оперативного устранения недостатков в процессах;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Тестировать и внедрять инновации, экспериментировать. Используются новые технологии и другие возможности для улучшения услуг и государственных (муниципальных) функций . Все нововведения проходят обязательные тестирования и внедряются оперативно и итеративно. 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5.4. В части единства и целостности: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Выступать единой командой для решения задач клиента. Органы и организации обеспечивают эффективное межведомственное взаимодействие и обмен информацией. Исполнители услуг и государственных (муниципальных) функций эффективно взаимодействуют для решения задач клиента, относятся к ним как к общему делу;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Устранять межведомственные дублирования и противоречия. Устраняются противоречия и дублирования в требованиях </w:t>
        <w:br/>
        <w:t>и деятельности различных органов и организаций.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5.5. В части объективности и беспристрастности: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Принимать решения, опираясь на достоверные данные. Решения органов и организаций основаны на анализе объективных данных, </w:t>
        <w:br/>
        <w:t>а не стереотипах;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Соблюдать последовательность в принятии решений и действиях. Аналогичные ситуации и запросы решаются единообразно. Изменение подхода является системным, а не результатом случайности или необоснованных преференций.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5.6. В части открытости и прозрачности: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Приветствовать обратную связь, признавать проблемы, если они есть. Обратная связь воспринимается как помощь в совершенствовании государственных функций и услуг. Проблемы не скрываются и не отрицаются. Разрабатывается план решения выявленных проблем;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Представлять актуальную информацию, объяснять принимаемые решения. Информация о правилах, процедурах, правах и возможностях, принятых решениях, а также статусе конкретного запроса сообщается своевременно простым и понятным языком посредством удобных для человека каналов связи.</w:t>
      </w:r>
    </w:p>
    <w:p>
      <w:pPr>
        <w:pStyle w:val="Normal"/>
        <w:spacing w:before="0" w:after="0"/>
        <w:ind w:firstLine="709"/>
        <w:rPr>
          <w:i/>
          <w:i/>
          <w:color w:val="auto"/>
        </w:rPr>
      </w:pPr>
      <w:r>
        <w:rPr>
          <w:i/>
          <w:color w:val="auto"/>
        </w:rPr>
        <w:t>5.7. В части взаимного доверия и безопасности: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Исполнять публично взятые обязательства и честно сообщать о достигнутых результатах. Органы и организации исполняют публично взятые на себя обязательства и планы. Если запланированный результат не был достигнут, этот факт признается с объяснением причин;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Гарантировать безопасность взаимодействия с органами и организациями  и защиту конфиденциальной информации (в том числе персональных данных). Реализация услуг и государственных (муниципальных) функций не создает риски для безопасности человека, его здоровья, имущества, а также защиты конфиденциальной информации (в том числе персональных данных);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Минимизировать необходимость контроля и проверок с учетом анализа рисков. Контрольные меры минимизируются, а их применение обусловлено необходимостью;</w:t>
      </w:r>
    </w:p>
    <w:p>
      <w:pPr>
        <w:pStyle w:val="18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Гарантировать защищенность гражданских служащих.Гарантируется защищенность гражданских служащих при выполнении ими своих должностных обязанностей, в том числе от неправомерного вмешательства в их профессиональную служебную деятельность.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7" w:name="_Toc107913702"/>
      <w:r>
        <w:rPr>
          <w:color w:val="auto"/>
        </w:rPr>
        <w:t>Организация работы органов и организаций на основе клиентоцентричного подхода.</w:t>
      </w:r>
      <w:bookmarkEnd w:id="7"/>
    </w:p>
    <w:p>
      <w:pPr>
        <w:pStyle w:val="ListParagraph"/>
        <w:numPr>
          <w:ilvl w:val="0"/>
          <w:numId w:val="5"/>
        </w:numPr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Деятельность органов и организаций должна осуществляться с учетом ключевых показателей организации работы органов и организаций для реализации клиентоцентричного подхода, приведенных в разделе 9 настоящего Стандарта, на основе процессного подхода с применением механизмов постоянных улучшений, базирующихся на оценке качества процессов со стороны внутреннего клиента.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Проектирование новых и реинжиниринг действующих процессов органов и организаций с применением клиентоцентричного подхода.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6.2.1. Органы и организации определяют необходимость проектирования новых или реинжиниринга действующих процессов на основе оценки качества процессов, в том числе со стороны внутреннего клиента.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6.2.2. Проектирование новых и реинжиниринг действующих процессов органов и организаций с применением клиентоцентричного подхода включает в себя следующие этапы:</w:t>
      </w:r>
    </w:p>
    <w:p>
      <w:pPr>
        <w:pStyle w:val="119"/>
        <w:numPr>
          <w:ilvl w:val="0"/>
          <w:numId w:val="6"/>
        </w:numPr>
        <w:tabs>
          <w:tab w:val="clear" w:pos="720"/>
          <w:tab w:val="left" w:pos="1276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анализ существующей практики организации работы, включающий составление полного перечня процессов, формализацию ключевых характеристик процессов и критериев эффективности;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276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разработка и описание схем процессов;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276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анализ эффективности процессов и выработка решений </w:t>
        <w:br/>
        <w:t>по совершенствованию процессов;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276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создание целевой модели процессов (в том числе требования </w:t>
        <w:br/>
        <w:t>к ресурсному обеспечению);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276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разработка или внесение изменений в документы, регламентирующие процессы (например, административные регламенты, должностные регламенты, положения о подразделениях).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6.2.3. Описание процессов органов и организаций должно включать в себя следующую информацию: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последовательность действий (операций) в процессе;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описание результата процесса;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требования к выходу (результатам) процесса:</w:t>
      </w:r>
    </w:p>
    <w:p>
      <w:pPr>
        <w:pStyle w:val="ListParagraph"/>
        <w:numPr>
          <w:ilvl w:val="0"/>
          <w:numId w:val="8"/>
        </w:numPr>
        <w:spacing w:before="0" w:after="0"/>
        <w:ind w:left="1418" w:hanging="0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требования к процессу, установленные внутренним клиентом (срок предоставления, качество результата);</w:t>
      </w:r>
    </w:p>
    <w:p>
      <w:pPr>
        <w:pStyle w:val="ListParagraph"/>
        <w:numPr>
          <w:ilvl w:val="0"/>
          <w:numId w:val="8"/>
        </w:numPr>
        <w:spacing w:before="0" w:after="0"/>
        <w:ind w:left="1418" w:hanging="0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требования, не определенные внутренним клиентом, но необходимые для конкретного или предполагаемого использования, когда оно известно;</w:t>
      </w:r>
    </w:p>
    <w:p>
      <w:pPr>
        <w:pStyle w:val="ListParagraph"/>
        <w:numPr>
          <w:ilvl w:val="0"/>
          <w:numId w:val="8"/>
        </w:numPr>
        <w:spacing w:before="0" w:after="0"/>
        <w:ind w:left="1418" w:hanging="0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законодательные и другие обязательные требования.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критерии эффективности (качества) процесса;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требования к входу (входящей информации, материальным потокам);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время выполнения операций процесса;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условия выполнения операций процесса;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исполнители процесса (кто, сколько, квалификация);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ресурсы (материальные, инструменты, оборудование);</w:t>
      </w:r>
    </w:p>
    <w:p>
      <w:pPr>
        <w:pStyle w:val="119"/>
        <w:numPr>
          <w:ilvl w:val="0"/>
          <w:numId w:val="7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информационная среда (ИТ-системы).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6.2.4. При проектировании новых и реинжиниринге действующих процессов органов и организаций должна быть предусмотрена возможность реализации исполнителями своих этапов процессов без ожидания поступления полного пакета данных (документов) с предыдущих этапов процессов (параллельное выполнение этапов процессов). При этом должно быть предусмотрено автоматическое уведомление всех участников процесса о его начале с указанием приоритета в зависимости от потребности внутреннего клиента.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6.2.5. Разработка органами и организациями регламентной документации, формализующей выполнение проектируемых процессов, должна производиться в обязательном порядке только после завершения тестирования прототипов услуг и сервисов в Лаборатории пользовательского тестирования Проектного офиса</w:t>
      </w:r>
      <w:r>
        <w:rPr>
          <w:rStyle w:val="FootnoteReference"/>
          <w:vertAlign w:val="superscript"/>
        </w:rPr>
        <w:footnoteReference w:id="2"/>
      </w:r>
      <w:r>
        <w:rPr>
          <w:color w:val="auto"/>
        </w:rPr>
        <w:t>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6.2.6. Регламентная документация должна разрабатываться в единых форматах (шаблонах) с применением утвержденного фирменного стиля и быть написана в удобочитаемой для внутреннего клиента форме </w:t>
        <w:br/>
        <w:t>с преимущественным использованием визуального представления информации (инфографики).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6.2.7. Вся регламентная документация должна утверждаться органами и организациями только после обсуждения с внутренними клиентами практичности и удобства ее использования.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6.2.8. Внутренние клиенты должны быть обеспечены беспрепятственным (без необходимости формирования дополнительных запросов) доступом к утвержденной регламентной документации, относящейся к сфере их профессиональной деятельности.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Процесс постановки рабочих задача с применением клиентоцентричного подхода. </w:t>
      </w:r>
    </w:p>
    <w:p>
      <w:pPr>
        <w:pStyle w:val="ListParagraph"/>
        <w:tabs>
          <w:tab w:val="clear" w:pos="720"/>
          <w:tab w:val="left" w:pos="284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6.3.1. Постановка всех рабочих задач не должна противоречить утвержденной регламентной документации. Ответственность за это лежит на руководителях, а не на сотрудниках.</w:t>
      </w:r>
    </w:p>
    <w:p>
      <w:pPr>
        <w:pStyle w:val="Normal"/>
        <w:tabs>
          <w:tab w:val="clear" w:pos="720"/>
          <w:tab w:val="left" w:pos="284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6.3.2. При постановке рабочей задачи руководитель должен убедиться, что она понятна и воспринята сотрудником верно. Для этого в общем случае при постановке задачи руководителем должны быть сформулированы и обсуждены с сотрудником:</w:t>
      </w:r>
    </w:p>
    <w:p>
      <w:pPr>
        <w:pStyle w:val="119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цель и важность выполнения задачи;</w:t>
      </w:r>
    </w:p>
    <w:p>
      <w:pPr>
        <w:pStyle w:val="Normal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суть и условия выполнения задачи, в том числе необходимость использования определенной регламентной документации;</w:t>
      </w:r>
    </w:p>
    <w:p>
      <w:pPr>
        <w:pStyle w:val="Normal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описание этапов выполнения задачи и соисполнители;</w:t>
      </w:r>
    </w:p>
    <w:p>
      <w:pPr>
        <w:pStyle w:val="Normal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сроки выполнения задачи и их обоснование c учетом возможной доработки результата;</w:t>
      </w:r>
    </w:p>
    <w:p>
      <w:pPr>
        <w:pStyle w:val="Normal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мотивация сотрудника;</w:t>
      </w:r>
    </w:p>
    <w:p>
      <w:pPr>
        <w:pStyle w:val="Normal"/>
        <w:numPr>
          <w:ilvl w:val="0"/>
          <w:numId w:val="9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варианты решения задачи.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6.3.3. Руководитель при постановке задачи должен учитывать загрузку сотрудника. При наличии у сотрудника нескольких задач, в том числе проектного характера, руководитель должен расставить приоритеты их реализации. Часть времени работы сотрудника должна быть зарезервирована под выполнение срочных и внеплановых задач. Необходимо заранее выявить среднее соотношение между плановыми (текущими) задачами </w:t>
        <w:br/>
        <w:t>и оперативными (возникающими) задачами и постоянно отслеживать его.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6.3.4. После выполнения задачи или выделенного блока работ в рамках поставленной задачи руководитель должен давать развивающую обратную связь сотруднику, даже если работа была выполнена без замечаний.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6.3.5. При решении рабочих задач все совещания и обсуждения должны соответствовать следующим требованиям: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четко задана цель и тематическая направленность рассматриваемых вопросов повестки совещания;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регулярность проведения совещаний с установленными днями </w:t>
        <w:br/>
        <w:t>и временем начала и завершения; внеплановые оперативные совещания допускаются только при условии их проведения в зарезервированное под выполнение срочных и внеплановых задач время при отсутствии подобного рода задач у всех участников совещания;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устойчивость повестки, темы (разделы или вопросы) в которой воспроизводятся от совещания к совещанию;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устойчивость состава участников и руководителя совещания;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модерация совещаний: контроль соблюдения цели совещания, вопросов повестки и регламента совещания участниками;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фиксации хода и решений совещания по повестке (ведение протокола совещания, который утверждается и направляется на исполнение);</w:t>
      </w:r>
    </w:p>
    <w:p>
      <w:pPr>
        <w:pStyle w:val="119"/>
        <w:numPr>
          <w:ilvl w:val="0"/>
          <w:numId w:val="10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наличие механизма контроля исполнения протокола совещаний.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Организация работы с документами и данными в органе и организации с применение клиентоцентричного подхода.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6.4.1. При решении рабочих задач документооборот между участниками процессов органов и организаций должен осуществляться в электронном виде по регламентированным каналам связи с учетом требований к обращению с документами, содержащими служебную информацию ограниченного распространения.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6.4.2. Документооборот должен включать в себя стандартизированную цифровую маркировку документов. Всем сотрудникам должны быть присвоены стандартизированные цифровые идентификаторы. Любой входящий документ (данные), промаркированный цифровой меткой, должен автоматически направляться сотруднику, имеющему соответствующий цифровой идентификатор. В случае недоступности сотрудника с требуемым цифровым идентификатором входящий документ (данные) должен направляться непосредственному руководителю сотрудника (куратору цифровых идентификаторов, закрепленных за его подразделением).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6.4.3. Формирование и направление стандартных запросов данных от внутренних клиентов, а также отправка ответов на стандартные запросы внутренних клиентов должны осуществляться в автоматическом режиме с использованием форм, ранее согласованных для каждого типа стандартных запросов. При отсутствии возможности ответа на запросы в автоматическом режиме подготовка и отправка ответов на запросы внутренних клиентов должна осуществляться сотрудниками без привлечения руководителей. Руководители могут осуществлять периодический выборочный контроль деятельности сотрудников.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rPr>
          <w:color w:val="auto"/>
        </w:rPr>
      </w:pPr>
      <w:r>
        <w:rPr>
          <w:color w:val="auto"/>
        </w:rPr>
        <w:t>6.4.4. Сотрудникам — исполнителям процессов должен быть обеспечен прямой автоматический доступ к данным, имеющимся у остальных участников процессов, при условии наличия прав на такой доступ. Органы и организации должны определить наборы сведений, в отношении которых у них есть первичные данные, и нести ответственность в части управления этими данными и их качества, в том числе осуществлять проверку данных на адекватность и релевантность в автоматическом режиме независимо от методики и технологии сбора данных. Сотрудники не должны перепроверять данные при решении рабочих задач.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851"/>
        <w:rPr>
          <w:color w:val="auto"/>
        </w:rPr>
      </w:pPr>
      <w:r>
        <w:rPr>
          <w:color w:val="auto"/>
        </w:rPr>
        <w:t>6.4.5. Для повышения эффективности работы сотрудников, в том числе связанной с отработкой нестандартных запросов клиентов, органы и организации создают базу знаний решений управленческих и рабочих задач, учитывающую специфику их деятельности. Каждый сотрудник должен иметь автоматический доступ к базе знаний и возможность быстрого поиска интересующей информации по ключевым словам.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851"/>
        <w:rPr>
          <w:color w:val="auto"/>
        </w:rPr>
      </w:pPr>
      <w:r>
        <w:rPr>
          <w:color w:val="auto"/>
        </w:rPr>
        <w:t xml:space="preserve">6.5. Определение форматов работы сотрудников органов и организаций с применений клиентоцентричного подхода. 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6.5.1. Решение рабочих задач сотрудниками может осуществляиться в удаленном (дистанционном) формате работы при отсутствии установленных нормативными правовыми актами запретов.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6.5.2. Для обеспечения возможности предоставления сотрудникам удаленного (дистанционного) формата работы органы и организации должны внести соответствующие изменения в организацию своей деятельности, в том числе в части: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требований к физическому присутствию сотрудников на рабочем месте;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порядка документооборота;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использования цифровых инструментов удаленной работы </w:t>
        <w:br/>
        <w:t>с данными и документами;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порядка организации онлайн-работы;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планирования загрузки сотрудников с учетом обеспечения достаточного количества времени для исполнения поставленных задач;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мониторинга исполнения задач в зависимости от типа работы;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поддержки сотрудников при различных форматах работы;</w:t>
      </w:r>
    </w:p>
    <w:p>
      <w:pPr>
        <w:pStyle w:val="119"/>
        <w:numPr>
          <w:ilvl w:val="0"/>
          <w:numId w:val="11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обеспечения конфиденциальности информации.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851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6.5.3. Для определения необходимых изменений в организации своей деятельности органами и организациями должна проводиться регулярная оценка влияния удаленного (дистанционного) формата работы на эффективность работы сотрудников.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851"/>
        <w:rPr>
          <w:color w:val="auto"/>
        </w:rPr>
      </w:pPr>
      <w:r>
        <w:rPr>
          <w:color w:val="auto"/>
        </w:rPr>
        <w:t>6.5.4. Помимо удаленного (дистанционного) формата работы с целью поддержания высокой работоспособности сотрудников при решении рабочих задач органы и организации должны создавать условия, направленные на устранение воздействия на сотрудников неблагоприятных факторов внешней среды и оптимизацию режимов труда и отдыха, в том числе: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предоставлять своим сотрудникам возможность организовать рабочий процесс таким образом, чтобы сотрудники могли самостоятельно планировать собственное рабочее место. Техническое оснащение рабочего места должно обеспечивать стабильный защищенный доступ к информационным системам, необходимым сотрудникам для выполнения своей работы, а также инструментам ускоренного обмена информацией;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проектировать гибкие рабочие пространства, обеспечивающие комфортное проведение видеоконференций и возможность совместной онлайн работы;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обеспечивать эргономичность рабочих мест;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организовывать зоны для работы проектных команд, которые оснащены необходимыми техническими средствами для командной работы (например, флипчарты, электронные доски и др.);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создавать комплекс неформальных и публичных пространств для стимулирования коммуникаций сотрудников вне контекста рабочих задач, в том числе зоны для отдыха и приема пищи;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нормативно закреплять возможность чередования периодов труда и отдыха с учетом особенностей процессов, в которых задействованы сотрудники, для сохранения их здоровья;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предоставлять сотрудникам, работающим в напряженном (стрессовом) режиме, возможность получения психологической поддержки;</w:t>
      </w:r>
    </w:p>
    <w:p>
      <w:pPr>
        <w:pStyle w:val="119"/>
        <w:numPr>
          <w:ilvl w:val="0"/>
          <w:numId w:val="12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осуществлять регулярный мониторинг социально-психологического климата в коллективе для выявления и своевременного устранения очагов напряженности.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 w:val="fals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6.6. Обеспечение постоянного и непрерывного совершенствования процессов в органе и организации.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 xml:space="preserve">6.6.1. В органе или организации должен быть сформирован координационный орган (рабочая группа), ответственный за постоянное и непрерывное совершенствование процессов деятельности такого органа.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 xml:space="preserve">6.6.2. Для обеспечения своевременного исполнения полномочий </w:t>
        <w:br/>
        <w:t xml:space="preserve">по постоянному и непрерывному совершенствованию деятельности в составе органа или организации должен быть определен курирующий заместитель руководителя, обеспечивающий контроль за указанным координационным органом (рабочей группой).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 xml:space="preserve">6.6.3. Руководители органа или организации должны на постоянной основе мотивировать сотрудников к проявлению инициативы, в том числе </w:t>
        <w:br/>
        <w:t>в отношении совершенствования деятельности такого органа в целом, отдельных процессов и повышения эффективности выполнения отдельных этапов таких процессов.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>6.6.4. Орган или организация должны установить систему поощрения сотрудников за внедренные предложения по совершенствованию деятельности такого органа при реализации своих должностных обязанностей.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>6.6.5. При изменении процессов деятельности или реализации клиентских сценариев для внутреннего клиента органы и организации должны незамедлительно информировать своих сотрудников и иных участников этих процессов о таких изменениях, а также о способах получения разъяснений и уточняющей информации относительно внесенных изменений.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>6.6.6. Реализация цикла постоянного и непрерывного совершенствования процессов деятельности должна осуществляться органами и организациями с привлечением непосредственных участников таких процессов в проектном формате с формированием проектных команд.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>6.6.7. Деятельность участников проектных команд по совершенствованию процессов деятельности органа или организации должна определяться ролевой моделью проекта, которая не связана с категориями и группами должностей участников проектной команды и основана в том числе на компетенциях клиентоцентричности.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20"/>
        <w:rPr>
          <w:color w:val="auto"/>
        </w:rPr>
      </w:pPr>
      <w:r>
        <w:rPr>
          <w:color w:val="auto"/>
        </w:rPr>
        <w:t>6.6.8. Запрещается налагать любые типы взысканий на проектные команды и их участников за недостижение или неполное достижение целевого эффекта от внедрения предложений по совершенствованию процессов деятельности органа или организации в рамках пилотных проектов по апробации таких предложений.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720" w:hanging="0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720" w:hanging="0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720" w:hanging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8" w:name="_Toc107913703"/>
      <w:bookmarkStart w:id="9" w:name="_heading=h.lnxbz9"/>
      <w:bookmarkEnd w:id="9"/>
      <w:r>
        <w:rPr>
          <w:color w:val="auto"/>
        </w:rPr>
        <w:t>Реализации кадровой политики в органах и организациях с применением клиентоцентричного подхода.</w:t>
      </w:r>
      <w:bookmarkEnd w:id="8"/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Практически клиентоцентричный подход в организации работы </w:t>
        <w:br/>
        <w:t>с кадровым составом реализуется в следующих кадровых процессах: 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426" w:leader="none"/>
        </w:tabs>
        <w:spacing w:before="0" w:after="0"/>
        <w:ind w:left="0" w:firstLine="709"/>
        <w:rPr>
          <w:color w:val="auto"/>
        </w:rPr>
      </w:pPr>
      <w:r>
        <w:rPr>
          <w:color w:val="auto"/>
        </w:rPr>
        <w:t>привлечение и отбор сотрудников;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426" w:leader="none"/>
        </w:tabs>
        <w:spacing w:before="0" w:after="0"/>
        <w:ind w:left="0" w:firstLine="709"/>
        <w:rPr>
          <w:color w:val="auto"/>
        </w:rPr>
      </w:pPr>
      <w:r>
        <w:rPr>
          <w:color w:val="auto"/>
        </w:rPr>
        <w:t>адаптация нового сотрудника в органе и организации;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426" w:leader="none"/>
        </w:tabs>
        <w:spacing w:before="0" w:after="0"/>
        <w:ind w:left="0" w:firstLine="709"/>
        <w:rPr/>
      </w:pPr>
      <w:r>
        <w:rPr>
          <w:color w:val="auto"/>
        </w:rPr>
        <w:t>мотивация сотрудников, их оценка и управление эффективностью</w:t>
      </w:r>
      <w:r>
        <w:rPr/>
        <w:t>;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426" w:leader="none"/>
        </w:tabs>
        <w:ind w:left="0" w:firstLine="709"/>
        <w:rPr>
          <w:color w:val="auto"/>
        </w:rPr>
      </w:pPr>
      <w:r>
        <w:rPr>
          <w:color w:val="auto"/>
        </w:rPr>
        <w:t>профессиональное развитие;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426" w:leader="none"/>
        </w:tabs>
        <w:ind w:left="0" w:firstLine="709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>организационная  культура.</w:t>
      </w:r>
    </w:p>
    <w:p>
      <w:pPr>
        <w:pStyle w:val="Heading3"/>
        <w:spacing w:before="0" w:after="0"/>
        <w:ind w:firstLine="709"/>
        <w:rPr>
          <w:color w:val="auto"/>
        </w:rPr>
      </w:pPr>
      <w:bookmarkStart w:id="10" w:name="_Toc107913704"/>
      <w:r>
        <w:rPr>
          <w:color w:val="auto"/>
        </w:rPr>
        <w:t>Привлечение и отбор сотрудников</w:t>
      </w:r>
      <w:bookmarkEnd w:id="10"/>
    </w:p>
    <w:p>
      <w:pPr>
        <w:pStyle w:val="ListParagraph"/>
        <w:numPr>
          <w:ilvl w:val="0"/>
          <w:numId w:val="13"/>
        </w:numPr>
        <w:tabs>
          <w:tab w:val="clear" w:pos="720"/>
          <w:tab w:val="left" w:pos="851" w:leader="none"/>
        </w:tabs>
        <w:spacing w:before="0" w:after="0"/>
        <w:ind w:left="0" w:firstLine="709"/>
        <w:contextualSpacing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Органами и организациями реализуется проактивная политика по привлечению новых сотрудников.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0"/>
        <w:ind w:firstLine="709"/>
        <w:rPr>
          <w:color w:val="auto"/>
          <w:szCs w:val="28"/>
        </w:rPr>
      </w:pPr>
      <w:r>
        <w:rPr>
          <w:color w:val="auto"/>
          <w:szCs w:val="28"/>
        </w:rPr>
        <w:t>В этих целях органы и организации на регулярной основе осуществляют оценку  потребностей в новых сотрудниках, исходя из анализа сроков высвобождения кадров, кадровой обеспеченности процессов, эффективности и результативности работы органа и организации, отдельных структурных подразделений, проектных команд и т.д.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Наряду с должностными регламентами (инструкциями), предусмотренными законодательством Российской Федерации о государственной гражданской службе и трудовым законодательством,  в отношении каждой должности  должны быть разработаны модели компетенций, содержащие требования к профессиональным и личностным качествам, которые позволят выполнять должностные обязанности максимально эффективно.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Должностные регламенты и модели компетенций используются для целей осуществления мероприятий  по привлечению сотрудников.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Мероприятия по привлечению сотрудников включают, в том числе: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426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поиск перспективных кадров из числа студентов вузов, включая проведение практик и стажировок</w:t>
      </w:r>
      <w:r>
        <w:rPr>
          <w:rStyle w:val="FootnoteReference"/>
          <w:color w:val="auto"/>
        </w:rPr>
        <w:footnoteReference w:id="3"/>
      </w:r>
      <w:r>
        <w:rPr>
          <w:color w:val="auto"/>
        </w:rPr>
        <w:t>;</w:t>
      </w:r>
    </w:p>
    <w:p>
      <w:pPr>
        <w:pStyle w:val="18"/>
        <w:numPr>
          <w:ilvl w:val="0"/>
          <w:numId w:val="19"/>
        </w:numPr>
        <w:tabs>
          <w:tab w:val="clear" w:pos="851"/>
          <w:tab w:val="left" w:pos="567" w:leader="none"/>
        </w:tabs>
        <w:ind w:left="0" w:firstLine="709"/>
        <w:rPr>
          <w:color w:val="auto"/>
        </w:rPr>
      </w:pPr>
      <w:r>
        <w:rPr>
          <w:color w:val="auto"/>
        </w:rPr>
        <w:t>анализ данных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 иных кадровых информационных систем;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426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поиск подходящих кадров в организациях, которые по своему профилю  соответствуют профилю деятельности органа и организации.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0"/>
        <w:ind w:left="709" w:hanging="0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Каждая модель компетенций должна включать набор инструментов оценки (тестирования, кейс-интервью, структурированное интервью и т.д.) всех требуемых профессиональных и личностных качеств потенциального кандидата. 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Привлечение и отбор сотрудника на вакантную позицию осуществляется только при условии наличия согласованных документов, включающих в себя должностной регламент, профиль должности, задание на испытательный срок (КПЭ на период испытательного срока) и план адаптации сотрудника к новой должности.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Каждый кандидат проходит оценочные процедуры для оценки соответствия профилю должности.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К проведению оценочных процедур привлекается руководитель структурного подразделения, где имеется вакансия, ответственный сотрудник кадровой службы, а также специалист в сфере </w:t>
      </w:r>
      <w:r>
        <w:rPr>
          <w:color w:val="auto"/>
          <w:lang w:val="en-US"/>
        </w:rPr>
        <w:t>HR</w:t>
      </w:r>
      <w:r>
        <w:rPr>
          <w:color w:val="auto"/>
        </w:rPr>
        <w:t>. 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Кандидатам, которые принимают участие в отборочных процедурах, на всех этапах направляются соответствующие информационные письма. 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Подбор и оценка кандидатов должна осуществляться ответственными лицами, имеющими соответствующую квалификацию, либо прошедшие дополнительное обучение (включая руководителей структурных подразделений).</w:t>
      </w:r>
    </w:p>
    <w:p>
      <w:pPr>
        <w:pStyle w:val="Heading3"/>
        <w:spacing w:before="0" w:after="0"/>
        <w:ind w:firstLine="709"/>
        <w:rPr>
          <w:color w:val="auto"/>
        </w:rPr>
      </w:pPr>
      <w:bookmarkStart w:id="11" w:name="_Toc107913705"/>
      <w:r>
        <w:rPr>
          <w:color w:val="auto"/>
        </w:rPr>
        <w:t>Адаптация нового сотрудника на государственной службе</w:t>
      </w:r>
      <w:bookmarkEnd w:id="11"/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Для каждого нового сотрудника до момента его выхода на работу должен быть сформирован план адаптации, в котором зафиксирован перечень мероприятий по адаптации сотрудника, включающий в себя следующие виды адаптации: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профессионально-ведомственная адаптация — подготовка новых сотрудников к качественному выполнению их профессиональных обязанностей с учетом ведомственной специфики;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социально-психологическая адаптация — включение работника </w:t>
        <w:br/>
        <w:t xml:space="preserve">в систему взаимоотношений коллектива, психологическое освоение </w:t>
        <w:br/>
        <w:t>и принятие ценностей, норм, правил, принципов и других элементов организационная культуры, включая ценности и принципы клиентоцентричности;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обязательное обучение — обучение с целью обеспечения выполнения требований, предъявляемых действующим законодательством (охрана труда, допуски и т.д.).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Период адаптации совпадает с периодом испытательного срока сотрудника.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Каждый новый сотрудник прикрепляется к наставнику, задачей которого является помощь в быстрой, комфортной и эффективной адаптации нового сотрудника, а также помощь в достижении поставленных на период испытательного срока задач.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Организация наставничества на государственной гражданской службе осуществляется в соответствии с Положением о наставничестве </w:t>
        <w:br/>
        <w:t xml:space="preserve">на государственной гражданской службе Российской Федерации, утвержденным постановлением Правительства Российской Федерации </w:t>
        <w:br/>
        <w:t>от 07.10.2019 № 1296.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Отбор наставников осуществляется на основе оценки профессиональных и личностных качеств, а также личной мотивации. Обязательно прохождение обучающего курса для наставников.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Государственный орган может использовать вознаграждение для мотивации наставников.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Обязательно проведение адаптационных интервью кадровой службой и снятие обратной связи о течении процесса адаптации </w:t>
        <w:br/>
        <w:t>и выполнения заданий испытательного срока от сотрудника и участников процесса адаптации.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Решение об успешности адаптации и прохождении испытательного срока принимается на основе оценки выполнения заданий </w:t>
        <w:br/>
        <w:t>на испытательный срок.</w:t>
      </w:r>
    </w:p>
    <w:p>
      <w:pPr>
        <w:pStyle w:val="121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</w:r>
    </w:p>
    <w:p>
      <w:pPr>
        <w:pStyle w:val="Heading3"/>
        <w:spacing w:before="0" w:after="0"/>
        <w:ind w:firstLine="709"/>
        <w:rPr>
          <w:color w:val="auto"/>
        </w:rPr>
      </w:pPr>
      <w:bookmarkStart w:id="12" w:name="_Toc107913706"/>
      <w:r>
        <w:rPr>
          <w:color w:val="auto"/>
        </w:rPr>
        <w:t>Мотивация сотрудников, их оценка и управление эффективностью</w:t>
      </w:r>
      <w:bookmarkEnd w:id="12"/>
    </w:p>
    <w:p>
      <w:pPr>
        <w:pStyle w:val="121"/>
        <w:numPr>
          <w:ilvl w:val="0"/>
          <w:numId w:val="13"/>
        </w:numPr>
        <w:spacing w:before="0" w:after="0"/>
        <w:ind w:left="0" w:firstLine="1080"/>
        <w:rPr>
          <w:color w:val="auto"/>
        </w:rPr>
      </w:pPr>
      <w:r>
        <w:rPr>
          <w:color w:val="auto"/>
        </w:rPr>
        <w:t xml:space="preserve">В целях эффективного внедрения клиентоцентричного подхода на уровне органа и организации должна быть сформирована специально организованная система мотивации сотрудников, состоящая из материальных и нематериальных факторов.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Материальное стимулирование должно учитывать выполнение показателей, указанных в разделе 9 настоящего Стандарта. Органы и организации должны ввести механизм привязки премиальной части заработной платы сотрудников, задействованных в реализации клиентских сценариев, к показателям, оценивающим эффективность их деятельности.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Система премирования на основании показателей эффективности деятельности сотрудников должна быть гибкой, чтобы учитывать изменения значимости отдельных показателей для целей премирования.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Органы и организации должны сформировать фонд или выделить часть существующего фонда оплаты труда на премирование сотрудников, задействованных в реализации клиентских сценариев, которые достигли целевых значений показателей эффективности. 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Система нематериальной мотивации может включать следующие элементы: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включение сотрудников в кадровый резерв;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включение сотрудников в федеральный резерв управленческих кадров;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включение сотрудников  в перечень лиц, осуществляющих наставничество;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организация проведения и обеспечение участия сотрудников в конкурсах на присвоение звания лучшего сотрудника;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включение сотрудников  в состав экспертных советов, в том числе молодежных, комиссий и рабочих групп;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направление сотрудников для участия в торжественных мероприятиях и мероприятиях по обмену опытом;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направление сотрудников  на обучение и стажировки;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обеспечение участия сотрудников в общественно значимых проектах;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851" w:leader="none"/>
        </w:tabs>
        <w:spacing w:before="0" w:after="0"/>
        <w:ind w:left="0" w:firstLine="1134"/>
        <w:contextualSpacing/>
        <w:rPr>
          <w:color w:val="auto"/>
        </w:rPr>
      </w:pPr>
      <w:r>
        <w:rPr>
          <w:rFonts w:ascii="Times New Roman" w:hAnsi="Times New Roman"/>
          <w:color w:val="auto"/>
        </w:rPr>
        <w:t>возможность самореализации и воплощения идей сотрудников;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0"/>
        <w:ind w:firstLine="1134"/>
        <w:rPr>
          <w:color w:val="auto"/>
        </w:rPr>
      </w:pPr>
      <w:r>
        <w:rPr>
          <w:color w:val="auto"/>
        </w:rPr>
        <w:t>В качестве элементов нематериальной мотивации могут рассматриваться также карьерное планирование и сформированная организационная культура, создающая благоприятную атмосферу для эффективной профессиональной деятельности сотрудников.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Органы и организации должны установить систему мотивации проектных команд, ответственных за проектирование услуг и сервисов, на основе уровня удовлетворенности клиентов качеством данных услуг или сервисов.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1080"/>
        <w:rPr>
          <w:color w:val="auto"/>
        </w:rPr>
      </w:pPr>
      <w:r>
        <w:rPr>
          <w:color w:val="auto"/>
        </w:rPr>
        <w:t>Система мотивации сотрудников органов и организаций должна учитывать результативность и эффективность их деятельности. В этих целях применяется система оценки деятельности сотрудников органов и организаций.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 органе и организации могут реализовываться следующие виды оценки: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соответствия модели компетенций, в том числе компетенций клиентоцентричности (обязательна при переводе на новую должность, изменении должностных регламентов, а также ежегодная);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по результатам выполнения поставленных показателей эффективности (КПЭ);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при включении в кадровый резерв и систему наставничества;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от коллег и клиентов.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Для каждой должности определяется свой набор оценочных инструментов в зависимости от уровня ответственности, а также специфики функционирования  органа или организации.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Для каждого вида оценки должен быть разработан  набор релевантных методов и подходов: тестирование, центр оценки («ассессмент-центр»), метод конкретных ситуаций («кейс-метод») и т.д. 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сотрудников органов и организаций проходит не реже одного раза в год.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Оценка должна осуществляться лицами, имеющими соответствующую квалификацию.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Кадровые решения относительно сотрудников органов и организаций принимаются строго по результатам оценки: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на основании результатов оценки формируются индивидуальные планы профессионального и личностного развития сотрудников органов и организаций, а также принимается решение о включении в кадровый резерв;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на основании результатов оценки осуществляется принятие решения о методах и способах материальной и нематериальной мотивации.</w:t>
      </w:r>
    </w:p>
    <w:p>
      <w:pPr>
        <w:pStyle w:val="NormalWeb"/>
        <w:spacing w:beforeAutospacing="0" w:before="0" w:afterAutospacing="0" w:after="0"/>
        <w:ind w:firstLine="709"/>
        <w:rPr>
          <w:color w:val="auto"/>
        </w:rPr>
      </w:pPr>
      <w:r>
        <w:rPr>
          <w:color w:val="auto"/>
          <w:sz w:val="28"/>
        </w:rPr>
        <w:t> </w:t>
      </w:r>
    </w:p>
    <w:p>
      <w:pPr>
        <w:pStyle w:val="Heading3"/>
        <w:spacing w:before="0" w:after="0"/>
        <w:ind w:firstLine="709"/>
        <w:rPr>
          <w:color w:val="auto"/>
        </w:rPr>
      </w:pPr>
      <w:bookmarkStart w:id="13" w:name="_Toc107913707"/>
      <w:r>
        <w:rPr>
          <w:color w:val="auto"/>
        </w:rPr>
        <w:t>Профессиональное развитие</w:t>
      </w:r>
      <w:bookmarkEnd w:id="13"/>
      <w:r>
        <w:rPr>
          <w:color w:val="auto"/>
        </w:rPr>
        <w:t> 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Профессиональное развитие государственных гражданских служащих осуществляется в соответствии с Указом Президента </w:t>
        <w:br/>
        <w:t xml:space="preserve">Российской Федерации от 21.02.2019 № 68 «О профессиональном развитии государственных гражданских служащих Российской Федерации». 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Профессиональное развитие может проводиться на основе индивидуального плана развития профессионального развития сотрудника, включающего в себя следующие виды обучения: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корректирующее обучение — обучение с целью обеспечения максимального соответствия  профессиональных знаний и умений сотрудника модели компетенций по занимаемой им должности;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обучение в связи с изменениями — обучение с целью профессиональной подготовки сотрудников в условиях внутри- и межведомственных изменений:</w:t>
      </w:r>
    </w:p>
    <w:p>
      <w:pPr>
        <w:pStyle w:val="NormalWeb"/>
        <w:numPr>
          <w:ilvl w:val="0"/>
          <w:numId w:val="14"/>
        </w:numPr>
        <w:tabs>
          <w:tab w:val="clear" w:pos="720"/>
        </w:tabs>
        <w:spacing w:beforeAutospacing="0" w:before="0" w:afterAutospacing="0" w:after="0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изменений функций, задач по должностной инструкции, КПЭ; </w:t>
      </w:r>
    </w:p>
    <w:p>
      <w:pPr>
        <w:pStyle w:val="NormalWeb"/>
        <w:numPr>
          <w:ilvl w:val="0"/>
          <w:numId w:val="14"/>
        </w:numPr>
        <w:tabs>
          <w:tab w:val="clear" w:pos="720"/>
        </w:tabs>
        <w:spacing w:beforeAutospacing="0" w:before="0" w:afterAutospacing="0" w:after="0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изменений в законодательстве;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карьерное обучение — обучение с целью совершенствования системы замещения должностей, удержания и обеспечения профессионального и карьерного роста сотрудников кадрового резерва;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ежегодное обучение с целью непрерывного профессионального развития.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Каждый вид обучения включает в себя обоснование возникновения потребности в обучении: результаты оценки; включение </w:t>
        <w:br/>
        <w:t>в кадровый резерв; выполнение КПЭ; внесение изменений в должностные регламенты; согласование ежегодного плана непрерывного профессионального развития.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Сотрудники органов и организаций участвуют в опросе по выявлению потребности в обучении. 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Ежегодный план непрерывного профессионального развития должен включать в себя всех сотрудников всех должностей. 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Необходимо внедрить оценку эффективности мероприятий по профессиональному развитию поставленным целям и задачам обучения, обязательно проводить оценку успешности обучения для каждого сотрудника и для каждого вида обучения.</w:t>
      </w:r>
    </w:p>
    <w:p>
      <w:pPr>
        <w:pStyle w:val="121"/>
        <w:numPr>
          <w:ilvl w:val="0"/>
          <w:numId w:val="13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Необходимо организовать непрерывное совершенствование подходов и технологий организации профессионального развития сотрудников посредством использования современных методов обучения, повышения уровня знаний и компетенций.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Основанием планирования карьеры (карьерных траекторий, планов индивидуального развития и др.) в органах и организациях является результат оценки, в том числе в части измерения эффективности деятельности сотрудников при реализации клиентских сценариев. 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0" w:after="0"/>
        <w:ind w:left="709" w:hanging="0"/>
        <w:rPr>
          <w:color w:val="auto"/>
        </w:rPr>
      </w:pPr>
      <w:r>
        <w:rPr>
          <w:color w:val="auto"/>
        </w:rPr>
      </w:r>
    </w:p>
    <w:p>
      <w:pPr>
        <w:pStyle w:val="Heading3"/>
        <w:spacing w:before="0" w:after="0"/>
        <w:ind w:firstLine="709"/>
        <w:rPr>
          <w:color w:val="auto"/>
        </w:rPr>
      </w:pPr>
      <w:bookmarkStart w:id="14" w:name="_Toc107913708"/>
      <w:bookmarkStart w:id="15" w:name="_Toc104576111"/>
      <w:r>
        <w:rPr>
          <w:color w:val="auto"/>
        </w:rPr>
        <w:t>Организационная культура</w:t>
      </w:r>
      <w:bookmarkEnd w:id="15"/>
      <w:r>
        <w:rPr>
          <w:rStyle w:val="FootnoteReference"/>
          <w:color w:val="auto"/>
          <w:vertAlign w:val="superscript"/>
        </w:rPr>
        <w:footnoteReference w:id="4"/>
      </w:r>
      <w:bookmarkEnd w:id="14"/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Формирование организационной культуры направлено на:</w:t>
      </w:r>
    </w:p>
    <w:p>
      <w:pPr>
        <w:pStyle w:val="ConsPlusNormal"/>
        <w:spacing w:before="0" w:after="12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создание в органе и организации позитивного морально-психологического климата, который позволял бы сотруднику вне зависимости от уровня замещаемой должности развиваться как личности и профессионалу, раскрывать творческий потенциал, ощущать свою значимость и сопричастность к решению приоритетных задач, стоящих перед государственным органом;</w:t>
      </w:r>
    </w:p>
    <w:p>
      <w:pPr>
        <w:pStyle w:val="ConsPlusNormal"/>
        <w:spacing w:before="0" w:after="12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формирование позитивного имиджа органа и организации и повышение престижа гражданской службы (работы в организации), сплоченности сотрудников, приверженных единым ценностям; </w:t>
      </w:r>
    </w:p>
    <w:p>
      <w:pPr>
        <w:pStyle w:val="ConsPlusNormal"/>
        <w:spacing w:before="0" w:after="12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формирование и контроль соблюдения сотрудниками органов и организаций принципов клиентоцентричности и правил поведения.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Составляющими организационной культуры являются </w:t>
      </w:r>
      <w:r>
        <w:rPr>
          <w:szCs w:val="28"/>
        </w:rPr>
        <w:t>ценности и миссия органа и организации, отражающие идеи и убеждения сотрудников по удовлетворению потребностей внешних клиентов, и соответствующие им профессиональные и личностные качества (компетенции).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Орган и организация должны назначить отдельное структурное подразделение или сотрудника из состава руководителей, которому делегированы полномочия по раскрытию и доведению до широкого круга лиц информации о миссии, ключевых целях и задачах деятельности органа или организации.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Главным приоритетом в рамках реализации своих должностных обязанностей для сотрудника должен быть ориентир на результат. </w:t>
        <w:br/>
        <w:t xml:space="preserve">В процессе любой деятельности сотрудник должен определять конечный целевой результат, достижение которого предполагает такая деятельность.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Линейные руководители органа и организации должны обеспечить понимание сотрудниками своего подразделения значимости </w:t>
        <w:br/>
        <w:t xml:space="preserve">и роли осуществляемой им деятельности. Не должна создаваться ситуация, при которой сотрудник не понимает назначение осуществляемой деятельности, что может привести к снижению мотивации ее реализации, </w:t>
        <w:br/>
        <w:t>а также снижению качества проделываемой работы.</w:t>
      </w:r>
    </w:p>
    <w:p>
      <w:pPr>
        <w:pStyle w:val="ConsPlusNormal"/>
        <w:numPr>
          <w:ilvl w:val="0"/>
          <w:numId w:val="13"/>
        </w:numPr>
        <w:spacing w:before="0" w:after="12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распространения в органе и организации организационной культуры целесообразно предусмотреть:</w:t>
      </w:r>
    </w:p>
    <w:p>
      <w:pPr>
        <w:pStyle w:val="ConsPlusNormal"/>
        <w:spacing w:before="0" w:after="12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издание в органе и организации </w:t>
      </w:r>
      <w:r>
        <w:rPr>
          <w:rFonts w:cs="Times New Roman" w:ascii="Times New Roman" w:hAnsi="Times New Roman"/>
          <w:bCs/>
          <w:sz w:val="28"/>
          <w:szCs w:val="28"/>
        </w:rPr>
        <w:t>информационно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Cs/>
          <w:sz w:val="28"/>
          <w:szCs w:val="28"/>
        </w:rPr>
        <w:t>просветительских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материалов</w:t>
      </w:r>
      <w:r>
        <w:rPr>
          <w:rFonts w:cs="Times New Roman" w:ascii="Times New Roman" w:hAnsi="Times New Roman"/>
          <w:sz w:val="28"/>
          <w:szCs w:val="28"/>
        </w:rPr>
        <w:t xml:space="preserve"> (брошюр, памяток, плакатов), описывающих важность соблюдения при выполнении должностных обязанностей сотрудниками ценностей и миссии органа и организации (далее – информационно – просветительские материалы);</w:t>
      </w:r>
    </w:p>
    <w:p>
      <w:pPr>
        <w:pStyle w:val="ConsPlusNormal"/>
        <w:spacing w:before="0" w:after="12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символик, лозунгов с ценностями и миссией органа и организации, их распространение в общедоступных местах (конференц-залы, актовые залы органа или организации, столовая, буфет), в кабинетах руководителя органа и организации, руководителей структурных подразделений и их заместителей, а также обеспечение ознакомления с ними как сотрудников, так и посетителей органа и организации;</w:t>
      </w:r>
    </w:p>
    <w:p>
      <w:pPr>
        <w:pStyle w:val="ConsPlusNormal"/>
        <w:spacing w:before="0" w:after="12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включение ценностей и миссии органа и организации в материалы программ профессионального развития, семинаров, тренингов, лекции, мастер-классов, мероприятий по обмену опытом, включая конференции, круглые столы и служебные стажировки, адаптационных мероприятий, интерактивных учебных курсов и т.д.;</w:t>
      </w:r>
    </w:p>
    <w:p>
      <w:pPr>
        <w:pStyle w:val="ConsPlusNormal"/>
        <w:spacing w:before="0" w:after="12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составляющих организационной культуры на торжественных мероприятиях (принесение присяги, церемонии посвящения, поздравления, мероприятия по подведению итогов работы и т.д.)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В деятельности органов и организаций в качестве элемента организационной культуры должно быть предусмотрено использование фирменного стиля, обеспечивающего единообразие подходов, опыта взаимодействия, являющегося неотъемлемой частью открытости информирования о деятельности органа (организации).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Орган и организация должны обеспечить предоставление своим сотрудникам по запросу помощи следующего характера: психологическая помощь, юридическая помощь (кроме вопросов в сфере трудового права), консультирование в сфере управления финансами.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Неотъемлемой частью организационной культуры является организация внерабочих коллективных активностей.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В органе и организации должен быть сформирован и реализовываться План коллективных активностей, направленных на развитие спортивного, творческого, интеллектуального потенциала сотрудников, а также в целях формирования крепких устойчивых деловых взаимоотношений и дружественной атмосферы внутри коллектива. План может быть сформирован как на уровне органа или организации, так и на уровне его структурных подразделений. Количество мероприятий Плана может варьироваться, но не может содержать менее 1 мероприятия в 2 месяца, в котором задействованы все сотрудники органа (организации) или его отдельного структурного подразделения.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 xml:space="preserve">Линейные руководители органа (организации) или его структурного подразделения должны принимать обязательное и непосредственное участие в мероприятиях Плана коллективных активностей.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851" w:leader="none"/>
        </w:tabs>
        <w:spacing w:lineRule="auto" w:line="276" w:before="0" w:after="0"/>
        <w:ind w:left="0" w:firstLine="709"/>
        <w:rPr>
          <w:color w:val="auto"/>
        </w:rPr>
      </w:pPr>
      <w:r>
        <w:rPr>
          <w:color w:val="auto"/>
        </w:rPr>
        <w:t>Финансовое обеспечение таких мероприятий должно осуществляться за счет бюджета органа или организации.</w:t>
      </w:r>
    </w:p>
    <w:p>
      <w:pPr>
        <w:pStyle w:val="Normal"/>
        <w:spacing w:before="0" w:after="0"/>
        <w:ind w:firstLine="709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16" w:name="_Toc107913709"/>
      <w:r>
        <w:rPr>
          <w:color w:val="auto"/>
        </w:rPr>
        <w:t>Мониторинг и обратная связь</w:t>
      </w:r>
      <w:bookmarkEnd w:id="16"/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8.1. Органы и организации должны осуществлять мониторинг реализации процессов, а также получать обратную связь от сотрудников </w:t>
        <w:br/>
        <w:t xml:space="preserve">в целях совершенствования процесса, фиксации и исправления существующих (возникающих) отклонений, корректировки подходов к реализации деятельности органа или организации.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8.2. Органы и организации должны осуществлять мониторинг показателей, характеризующих общую эффективность внутриведомственных процессов и процессов реализации клиентских сценариев для внутренних клиентов и каждого отдельного этапа.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8.3. В ходе мониторинга эффективности процессов необходимо демонстрировать, что: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внутриведомственные процессы соответствуют ожиданиям внутреннего клиента;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система мотивации эффективна и стимулирует работу внутреннего клиента;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внутренние клиенты удовлетворены созданными условиями труда;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постоянно повышается эффективность данных процессов.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8.4. В учетной информационной системе органами государственной власти должны фиксироваться показатели, характеризующие результаты реализации ключевых внутриведомственных процессов, и показатели эффективности выполнения отдельных этапов процессов реализации клиентских сценариев для внутренних клиентов.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8.5. Органы и организации должны проводить: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регулярный мониторинг удовлетворенности внутренних клиентов созданными условиями труда на основании показателей, представленных в разделе 9;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мониторинг дисциплины реализации задач;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мониторинг взаимодействия с непосредственным руководителем;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мониторинг состояния социальной среды.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8.6. Мониторинг дисциплины реализации задач осуществляется </w:t>
        <w:br/>
        <w:t xml:space="preserve">с целью корректировки нагрузки на сотрудников.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8.7. Мониторинг взаимодействия с непосредственным руководителем осуществляется на предмет: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достаточности взаимодействия;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понятности постановки задач.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8.8. По итогам мониторинга взаимодействия с непосредственным руководителем должны формироваться рекомендации по корректировке реализаций функций руководителя (результаты мониторинга должны использоваться).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8.9. Органы и организации должны обеспечить получение обратной связи от внутреннего клиента посредством использования различных методов и инструментов, которые включают в себя: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опросы сотрудников;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проведение оценки 360;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предложения, замечания и жалобы внутренних клиентов.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8.10. Опросы сотрудников и проведение оценки 360 должны проводится не реже одного раза в год.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8.11. Результаты опросов должны использоваться в целях: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сбора информации и предложений по повышению эффективности работы;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определения направлений для реинжиниринга внутриведомственных процессов;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изменения системы мотивации сотрудников;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корректировок траекторий развития сотрудников.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8.12. Результаты оценки 360 используются в том числе для: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определения потребности в обучении сотрудника тем компетенциям, которые необходимо развить, создания планов индивидуального развития;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текущей оценки деятельности по заданным критериям выполнения работы на данном рабочем месте за определенный период времени;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подбора проектной команды или выявления сотрудников, способных работать над сложными проектами;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формирования кадрового резерва.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8.13. Опросы сотрудников и проведение оценки 360 могут использоваться в том числе для получения обратной связи от сотрудников </w:t>
        <w:br/>
        <w:t>в отношении руководителя, которая может использоваться для принятия управленческих, кадровых и прочих решений в отношении руководителя.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8.14. Предложения, замечания и жалобы внутренних клиентов должны обрабатываться руководителем. По итогам обработки предложений, замечаний и жалоб должен формироваться и доводиться до автора мотивированный ответ.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8.15. Органами государственной власти должны быть созданы механизмы получения обратной связи от внутреннего клиента по итогам внутриведомственных и межведомственных взаимодействий в рамках предоставления услуг внешним клиентам.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8.16. Органы и организации должны внедрить процедуры, обеспечивающие реагирование на полученную от внутренних клиентов обратную связь.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8.17. Система показателей эффективности внутриведомственных процессов и процессов реализации клиентских сценариев для внутренних клиентов должна затрагивать все внутриведомственные процессы органов </w:t>
        <w:br/>
        <w:t>и организаций.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8.18. Для повышения эффективности внутриведомственных процессов органы и организации должны проводить регулярный аудит существующего набора показателей эффективности и их целевых значений.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8.19. Для оценки эффективности деятельности органов и организаций и их внутриведомственных процессов используются показатели следующих типов: 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показатель эффекта: характеризует конечный результат, </w:t>
        <w:br/>
        <w:t>на достижение которого направлена оцениваемая деятельность органа или организации, в том числе степень достижения целевого состояния характеристик процесса;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показатель результата: характеризует степень решения проблем, препятствующих положительной динамике показателя эффекта;</w:t>
      </w:r>
    </w:p>
    <w:p>
      <w:pPr>
        <w:pStyle w:val="18"/>
        <w:numPr>
          <w:ilvl w:val="0"/>
          <w:numId w:val="19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  <w:t>показатель технического результата: характеризует результат конкретных действий органов и организаций, направленных на достижение результата.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8.20. Показатели эффективности деятельности сотрудников должны учитывать показатели удовлетворенности внутреннего клиента, показатели удовлетворенности внешних клиентов в процессе реализации клиентских сценариев и показатели, оценивающие качество выполнения сотрудником своего этапа.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>8.21. Соглашение о взаимодействии между органами государственной власти и уполномоченными организациями должно содержать перечень показателей, оценивающих качество выполнения уполномоченными организациями своих обязательств и качество предоставления услуг клиентам, а также порядок расчета и мониторинга данных показателей.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8.22. Органы и организации должны на регулярной основе проводить анализ фактических показателей эффективности внутриведомственных процессов, в том числе анализировать причины их недостижения, </w:t>
        <w:br/>
        <w:t xml:space="preserve">и предпринимать корректирующие действия только на основании результатов проведенного анализа.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firstLine="709"/>
        <w:rPr>
          <w:color w:val="auto"/>
        </w:rPr>
      </w:pPr>
      <w:r>
        <w:rPr>
          <w:color w:val="auto"/>
        </w:rPr>
        <w:t xml:space="preserve">8.23. Органы и организации должны внедрить практику непрерывного совершенствования процесса реализации клиентских сценариев для внутренних клиентов на основании полученной обратной связи. </w:t>
      </w:r>
    </w:p>
    <w:p>
      <w:pPr>
        <w:pStyle w:val="Heading2"/>
        <w:numPr>
          <w:ilvl w:val="0"/>
          <w:numId w:val="0"/>
        </w:numPr>
        <w:spacing w:before="0" w:after="0"/>
        <w:ind w:left="0" w:firstLine="709"/>
        <w:rPr>
          <w:color w:val="auto"/>
        </w:rPr>
      </w:pPr>
      <w:r>
        <w:rPr>
          <w:color w:val="auto"/>
        </w:rPr>
      </w:r>
      <w:bookmarkStart w:id="17" w:name="_Ref95156645"/>
      <w:bookmarkStart w:id="18" w:name="_Ref95156645"/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19" w:name="_Ref95156645"/>
      <w:bookmarkStart w:id="20" w:name="_Toc107913710"/>
      <w:r>
        <w:rPr>
          <w:color w:val="auto"/>
        </w:rPr>
        <w:t>Показатели клиентоцентричности</w:t>
      </w:r>
      <w:bookmarkEnd w:id="19"/>
      <w:bookmarkEnd w:id="20"/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Обобщенное соотнесение отдельных показателей, характеризующих эффективность выполнения требований Стандарта, с разделами Стандарта представлены в </w:t>
      </w:r>
      <w:r>
        <w:rPr>
          <w:rFonts w:ascii="Times New Roman" w:hAnsi="Times New Roman"/>
          <w:bCs/>
          <w:color w:val="auto"/>
        </w:rPr>
        <w:t>таблице 1</w:t>
      </w:r>
      <w:r>
        <w:rPr>
          <w:rFonts w:ascii="Times New Roman" w:hAnsi="Times New Roman"/>
          <w:color w:val="auto"/>
        </w:rPr>
        <w:t xml:space="preserve">. В </w:t>
      </w:r>
      <w:r>
        <w:rPr/>
        <w:fldChar w:fldCharType="begin"/>
      </w:r>
      <w:r>
        <w:rPr/>
        <w:instrText xml:space="preserve"> REF _Ref90648910 \r \h </w:instrText>
      </w:r>
      <w:r>
        <w:rPr/>
        <w:fldChar w:fldCharType="separate"/>
      </w:r>
      <w:r>
        <w:rPr/>
        <w:t>таблице 2</w:t>
      </w:r>
      <w:r>
        <w:rPr/>
        <w:fldChar w:fldCharType="end"/>
      </w:r>
      <w:r>
        <w:rPr>
          <w:rFonts w:ascii="Times New Roman" w:hAnsi="Times New Roman"/>
          <w:color w:val="auto"/>
        </w:rPr>
        <w:t xml:space="preserve"> представлено соотнесение таких показателей с конкретными требованиями Стандарта, а также приведены критерии отнесения реализации требования в конкретном органе государственной власти к тому или иному уровню клиентоцентричности </w:t>
        <w:br/>
        <w:t>по пятибалльной шкале с условными оценками в виде «звезд», где 1 звезда — низший уровень клиентоцентричности, 5 звезд — высший уровень клиентоцентричности.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120"/>
        <w:spacing w:lineRule="auto" w:line="240" w:before="0" w:after="160"/>
        <w:ind w:left="0" w:hanging="0"/>
        <w:rPr>
          <w:rFonts w:ascii="Times New Roman" w:hAnsi="Times New Roman"/>
          <w:b/>
          <w:bCs/>
          <w:color w:val="auto"/>
          <w:sz w:val="26"/>
        </w:rPr>
      </w:pPr>
      <w:r>
        <w:rPr>
          <w:rFonts w:ascii="Times New Roman" w:hAnsi="Times New Roman"/>
          <w:b/>
          <w:bCs/>
          <w:color w:val="auto"/>
          <w:sz w:val="26"/>
        </w:rPr>
        <w:t xml:space="preserve">Таблица 1 — Ключевые показатели организации работы органов и организаций для реализации клиентоцентричного подхода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6656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0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Раздел Стандарта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0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Показатели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6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Организация работы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20"/>
              <w:rPr>
                <w:color w:val="auto"/>
              </w:rPr>
            </w:pPr>
            <w:r>
              <w:rPr>
                <w:color w:val="auto"/>
              </w:rPr>
              <w:t>Доля времени, затраченного на согласования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Удовлетворенность сотрудников межведомственным взаимодействием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 xml:space="preserve">Доля проектов, достигших целевых значений показателей </w:t>
              <w:br/>
              <w:t>в установленный срок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Доля проектов по разработке государственных услуг, осуществляемых на основе гибких подходов к управлению проектами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Скорость представления запрашиваемых данных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Доля сотрудников, удовлетворенных автоматизацией своей работы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Доля сотрудников, которым обеспечена техническая возможность для удаленной работы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Удовлетворенность сотрудников техническим оснащением рабочих мест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Количество внедренных предложений сотрудников по совершенствованию деятельности органа или организации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Доля проектных команд по совершенствованию процессов деятельности органа или организации, определяемая ролевой моделью проекта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6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Управление эффективностью </w:t>
              <w:br/>
              <w:t>и развитие карьеры государственных служащих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20"/>
              <w:rPr>
                <w:color w:val="auto"/>
              </w:rPr>
            </w:pPr>
            <w:r>
              <w:rPr>
                <w:color w:val="auto"/>
              </w:rPr>
              <w:t>Доля премиальных выплат за достижение показателей эффективности в общем объеме выплаченного сотрудникам вознаграждения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Удовлетворенность сотрудников мероприятиями по нематериальной мотивации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 xml:space="preserve">Соответствие профессиональных и личностных качеств государственного служащего установленным положениями постановления Правительства Российской Федерации </w:t>
              <w:br/>
              <w:t>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6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Организационная культура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20"/>
              <w:rPr>
                <w:color w:val="auto"/>
              </w:rPr>
            </w:pPr>
            <w:r>
              <w:rPr>
                <w:color w:val="auto"/>
              </w:rPr>
              <w:t>Доля сотрудников, которые понимают значимость и роль осуществляемой ими деятельности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>Доля сотрудников, участвующих в коллективных активностях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6"/>
              <w:widowControl w:val="false"/>
              <w:spacing w:lineRule="auto" w:line="240" w:before="0" w:after="16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Мониторинг и обратная связь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20"/>
              <w:rPr>
                <w:color w:val="auto"/>
              </w:rPr>
            </w:pPr>
            <w:r>
              <w:rPr>
                <w:color w:val="auto"/>
              </w:rPr>
              <w:t xml:space="preserve">Доля этапов процесса предоставления услуг и сервисов, </w:t>
              <w:br/>
              <w:t>на которых внедрены процедуры обратной связи</w:t>
            </w:r>
          </w:p>
          <w:p>
            <w:pPr>
              <w:pStyle w:val="NormalWeb"/>
              <w:widowControl w:val="false"/>
              <w:spacing w:before="280" w:after="120"/>
              <w:rPr>
                <w:color w:val="auto"/>
              </w:rPr>
            </w:pPr>
            <w:r>
              <w:rPr>
                <w:color w:val="auto"/>
              </w:rPr>
              <w:t xml:space="preserve">Доля замечаний, пожеланий и предложений, полученных </w:t>
              <w:br/>
              <w:t>в ходе сбора обратной связи, которые были учтены при разработке или актуализации клиентских сценариев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footnotePr>
            <w:numFmt w:val="decimal"/>
          </w:footnotePr>
          <w:type w:val="nextPage"/>
          <w:pgSz w:w="11906" w:h="16838"/>
          <w:pgMar w:left="1701" w:right="850" w:gutter="0" w:header="708" w:top="1134" w:footer="708" w:bottom="1134"/>
          <w:pgNumType w:fmt="decimal"/>
          <w:formProt w:val="false"/>
          <w:textDirection w:val="lrTb"/>
          <w:docGrid w:type="default" w:linePitch="100" w:charSpace="4294959103"/>
        </w:sectPr>
        <w:pStyle w:val="121"/>
        <w:numPr>
          <w:ilvl w:val="0"/>
          <w:numId w:val="0"/>
        </w:numPr>
        <w:tabs>
          <w:tab w:val="clear" w:pos="851"/>
          <w:tab w:val="left" w:pos="0" w:leader="none"/>
        </w:tabs>
        <w:ind w:left="0" w:hanging="0"/>
        <w:rPr>
          <w:color w:val="auto"/>
        </w:rPr>
      </w:pPr>
      <w:r>
        <w:rPr>
          <w:color w:val="auto"/>
        </w:rPr>
      </w:r>
    </w:p>
    <w:p>
      <w:pPr>
        <w:pStyle w:val="120"/>
        <w:spacing w:lineRule="auto" w:line="240" w:before="0" w:after="160"/>
        <w:ind w:left="0" w:hanging="0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21" w:name="_Ref90648910"/>
      <w:r>
        <w:rPr>
          <w:rFonts w:ascii="Times New Roman" w:hAnsi="Times New Roman"/>
          <w:b/>
          <w:bCs/>
          <w:color w:val="auto"/>
          <w:sz w:val="24"/>
          <w:szCs w:val="24"/>
        </w:rPr>
        <w:t>Таблица 2 — Перечень показателей эффективности реализации требований Стандарта для внутреннего клиента</w:t>
      </w:r>
      <w:bookmarkEnd w:id="21"/>
    </w:p>
    <w:tbl>
      <w:tblPr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4"/>
        <w:gridCol w:w="2045"/>
        <w:gridCol w:w="2046"/>
        <w:gridCol w:w="2045"/>
        <w:gridCol w:w="2047"/>
        <w:gridCol w:w="2045"/>
      </w:tblGrid>
      <w:tr>
        <w:trPr>
          <w:tblHeader w:val="true"/>
          <w:trHeight w:val="345" w:hRule="atLeast"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Показатель эффективности реализации требований</w:t>
            </w:r>
          </w:p>
        </w:tc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Уровень клиентоцентричности</w:t>
            </w:r>
          </w:p>
        </w:tc>
      </w:tr>
      <w:tr>
        <w:trPr>
          <w:trHeight w:val="300" w:hRule="atLeast"/>
        </w:trPr>
        <w:tc>
          <w:tcPr>
            <w:tcW w:w="4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 звезда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 звезды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3 звезды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 звезды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 звезд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процессов, для которых разработаны целевые модели процессов межведомственного и внутриведомственного взаимодействия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документов, переданных в рамках межведомственного и внутриведомственного взаимодействия и помеченных стандартизированной цифровой маркировкой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Доля исполнителей, имеющих стандартизированные цифровые идентификаторы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входящих документов, которые были корректно направлены соответствующему исполнителю с первого раза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входящих документов, автоматически направленных руководителю подразделения (в случае недоступности исполнителя с требуемым цифровым идентификатором)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ИОГВ, с которыми установлен автоматический доступ к данным, в общем числе ИОГВ, с которыми осуществляется взаимодействие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стандартизированных запросов в общем количестве запросов, направляемых при межведомственном взаимодействии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ответов, направленных уполномоченными специалистами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процессов с улучшенными показателями эффективности относительно предыдущего периода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клиентских сценариев, для которых цикл непрерывного совершенствования осуществляется с привлечением клиентов в проектном формате.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нарушений сроков по причине неосведомленности участников процесса об изменениях в процессах, от общего количества оказанных услуг/предоставленных сервисов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4,99%-1%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0,99%-0,5%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0,49% и ниже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для которых доступен удаленный формат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Число жалоб сотрудников на организацию удаленного формата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Более 10 жалоб </w:t>
              <w:br/>
              <w:t>в квартал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10-8 жалоб </w:t>
              <w:br/>
              <w:t>в квартал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7-5 жалоб в квартал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4-3 жалобы в квартал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 и менее жалобы в квартал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регламентных документов, синхронизированных с методическими рекомендациями Проектного офиса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регламентных документов, приведенных в соответствие с методическими рекомендациями Проектного офиса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проектов для внутреннего клиента, которые были реализованы в срок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срочных контрактов с привлеченными специалистами, по которым были достигнуты целевые значения показателей эффективности реализации клиентских сценариев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проектных команд, включающих представителей ИОГВ, которые участвуют в реализации клиентского сценария, и профильных экспертов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51%-59,99%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80%-89,99%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проектных команд, включающих потенциальных или существующих клиентов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регламентов выполнения процессов реализации клиентских сценариев, прошедших тестирование услуг и сервисов в лаборатории пользовательского тестирования.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Уровень удовлетворенности форматом представления регламентной документации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участвовавших в проектной работе в отрыве от выполнения текущих обязанностей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формально неактуальных записей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1%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0,5%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0,49% и ниже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записей, содержащих некорректные значения полей или незаполненные обязательные для заполнения поля (атрибуты)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1%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0,99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0,5%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0,49% и ниже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клиентских сценариев, в которых реализован беспрепятственный доступ участников к имеющимся согласиям на обработку персональных данных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показателей эффективности процессов, для которых разработан порядок мониторинга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показателей, для которых постоянно проводится сравнение фактических значений с плановыми и оценка динамики изменения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Удовлетворенность сотрудников условиями труда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показателей, в отношении которых проводится аудит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деятельность которых оценивается с учетом удовлетворенности клиентов и исполнителей из смежных ведомств (в соответствии с утвержденным порядком)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показателей эффективности, демонстрирующих улучшение относительно предыдущего периода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соглашений органов государственной власти с уполномоченными организациями, которые содержат показатели оценки качества выполнения уполномоченными организациями своих обязательств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процессов, в которых внедрен механизм обратной связи от внутренних клиентов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внутренних клиентов, удовлетворенных скоростью реагирования на предоставленную обратную связь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Уровень удовлетворенности возможностями для карьерного роста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Уровень удовлетворенности системой материальной мотивации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премиальных выплат за достижение показателей эффективности в общем объеме выплаченного сотрудникам вознаграждения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5,01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10%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10,01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15%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15,01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20%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20,01%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показателей эффективности, по которым были достигнуты целевые значения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премированных за достижение целевых значений показателей эффективности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внедренных предложений по совершенствованию деятельности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руководителей, прошедших обучение практикам мотивации персонала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Уровень удовлетворенности системой мотивации проектных команд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Удовлетворенность государственных гражданских служащих мероприятиями по нематериальной мотивации, проводимыми в государственном органе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Уровень удовлетворенности образовательными программами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50,1% до 60% оценок «Удовлетворен» и «Скорее удовлетворен»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60,1% до 70%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70,1% до 80% оценок «Удовлетворен» и «Скорее удовлетворен»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80,1% до 90% оценок «Удовлетворен» и «Скорее удовлетворен»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от 90,1% до 100% оценок «Удовлетворен» и «Скорее удовлетворен»»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для которых разработаны планы индивидуального развития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которым обеспечена техническая возможность для удаленной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рабочих мест, оснащенных средствами для проведения видеоконференций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рабочего времени, в течение которого используются зоны для работы проектных команд в течение недели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должностей, на которые разработан профиль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имеющих план адаптации при замещении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имеющих закрепленного наставника при замещении должности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проходящих оценку по результатам выполнения поставленных показателей эффективности (КПЭ) клиентоцентричности, компетенций клиентоцентричности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имеющих индивидуальный план развития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Доля сотрудников, включенных в кадровый резерв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color w:val="auto"/>
                <w:szCs w:val="24"/>
              </w:rPr>
            </w:pPr>
            <w:r>
              <w:rPr>
                <w:color w:val="auto"/>
              </w:rPr>
              <w:t>Доля сотрудников, участвующих в коллективных активностях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 50,99%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51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59,99%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79,99%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80</w:t>
            </w:r>
            <w:r>
              <w:rPr>
                <w:rFonts w:eastAsia="Symbol" w:cs="Symbol" w:ascii="Symbol" w:hAnsi="Symbol"/>
                <w:color w:val="auto"/>
                <w:szCs w:val="24"/>
              </w:rPr>
              <w:sym w:font="Symbol" w:char="f02d"/>
            </w:r>
            <w:r>
              <w:rPr>
                <w:color w:val="auto"/>
                <w:szCs w:val="24"/>
              </w:rPr>
              <w:t>89,99%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90% и выше</w:t>
            </w:r>
          </w:p>
        </w:tc>
      </w:tr>
    </w:tbl>
    <w:p>
      <w:pPr>
        <w:pStyle w:val="121"/>
        <w:numPr>
          <w:ilvl w:val="0"/>
          <w:numId w:val="0"/>
        </w:numPr>
        <w:ind w:left="2160" w:hanging="0"/>
        <w:rPr>
          <w:color w:val="auto"/>
        </w:rPr>
      </w:pPr>
      <w:r>
        <w:rPr>
          <w:color w:val="auto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footnotePr>
            <w:numFmt w:val="decimal"/>
          </w:footnotePr>
          <w:type w:val="nextPage"/>
          <w:pgSz w:orient="landscape" w:w="16838" w:h="11906"/>
          <w:pgMar w:left="1134" w:right="1134" w:gutter="0" w:header="708" w:top="1701" w:footer="708" w:bottom="850"/>
          <w:pgNumType w:fmt="decimal"/>
          <w:formProt w:val="false"/>
          <w:textDirection w:val="lrTb"/>
          <w:docGrid w:type="default" w:linePitch="100" w:charSpace="4294959103"/>
        </w:sectPr>
        <w:pStyle w:val="121"/>
        <w:numPr>
          <w:ilvl w:val="0"/>
          <w:numId w:val="0"/>
        </w:numPr>
        <w:ind w:left="0" w:hanging="0"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22" w:name="_Toc107913711"/>
      <w:r>
        <w:rPr>
          <w:color w:val="auto"/>
        </w:rPr>
        <w:t>Методики реализации Стандарта</w:t>
      </w:r>
      <w:bookmarkEnd w:id="22"/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 w:firstLine="709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целях реализации Стандарта необходимо пользоваться следующими методическими и нормативными документами:</w:t>
      </w:r>
    </w:p>
    <w:p>
      <w:pPr>
        <w:pStyle w:val="119"/>
        <w:numPr>
          <w:ilvl w:val="0"/>
          <w:numId w:val="15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ГОСТ Р ИСО 9241-210-2016 «Эргономика взаимодействия человек-система. Часть 210. Человеко-ориентированное проектирование интерактивных систем // Федеральное агентство по техническому регулированию и метрологии. — М.: Стандартинформ, 2018;</w:t>
      </w:r>
    </w:p>
    <w:p>
      <w:pPr>
        <w:pStyle w:val="119"/>
        <w:numPr>
          <w:ilvl w:val="0"/>
          <w:numId w:val="15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ГОСТ Р ИСО 9001-2015 Системы менеджмента качества. Требования // Федеральное агентство по техническому регулированию </w:t>
        <w:br/>
        <w:t>и метрологии. — М.: Стандартинформ, 2018;</w:t>
      </w:r>
    </w:p>
    <w:p>
      <w:pPr>
        <w:pStyle w:val="119"/>
        <w:numPr>
          <w:ilvl w:val="0"/>
          <w:numId w:val="15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Методика нематериальной мотивации государственных гражданских служащих Российской Федерации</w:t>
      </w:r>
      <w:r>
        <w:rPr>
          <w:rStyle w:val="FootnoteReference"/>
          <w:color w:val="auto"/>
          <w:sz w:val="26"/>
        </w:rPr>
        <w:footnoteReference w:id="5"/>
      </w:r>
      <w:r>
        <w:rPr>
          <w:color w:val="auto"/>
        </w:rPr>
        <w:t>;</w:t>
      </w:r>
    </w:p>
    <w:p>
      <w:pPr>
        <w:pStyle w:val="119"/>
        <w:numPr>
          <w:ilvl w:val="0"/>
          <w:numId w:val="15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Методика оценки «360 градусов»</w:t>
      </w:r>
      <w:r>
        <w:rPr>
          <w:color w:val="auto"/>
          <w:vertAlign w:val="superscript"/>
        </w:rPr>
        <w:t>2</w:t>
      </w:r>
      <w:r>
        <w:rPr>
          <w:color w:val="auto"/>
        </w:rPr>
        <w:t>.</w:t>
      </w:r>
    </w:p>
    <w:p>
      <w:pPr>
        <w:pStyle w:val="119"/>
        <w:numPr>
          <w:ilvl w:val="0"/>
          <w:numId w:val="0"/>
        </w:numPr>
        <w:spacing w:before="0" w:after="0"/>
        <w:ind w:left="709" w:hanging="0"/>
        <w:contextualSpacing/>
        <w:rPr>
          <w:color w:val="auto"/>
        </w:rPr>
      </w:pPr>
      <w:r>
        <w:rPr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23" w:name="_Toc107913712"/>
      <w:r>
        <w:rPr>
          <w:color w:val="auto"/>
        </w:rPr>
        <w:t>Основные направления внедрения Стандарта</w:t>
      </w:r>
      <w:bookmarkEnd w:id="23"/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1080" w:hanging="0"/>
        <w:rPr>
          <w:color w:val="auto"/>
        </w:rPr>
      </w:pPr>
      <w:r>
        <w:rPr>
          <w:color w:val="auto"/>
        </w:rPr>
        <w:t>11.1. Внедрение Стандарта в органах государственной власти должно осуществляться по следующим направлениям:</w:t>
      </w:r>
    </w:p>
    <w:p>
      <w:pPr>
        <w:pStyle w:val="119"/>
        <w:numPr>
          <w:ilvl w:val="0"/>
          <w:numId w:val="16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формирование рабочей группы, которая будут осуществлять внедрение Стандарта;</w:t>
      </w:r>
    </w:p>
    <w:p>
      <w:pPr>
        <w:pStyle w:val="Normal"/>
        <w:numPr>
          <w:ilvl w:val="0"/>
          <w:numId w:val="16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разработка плана мероприятий по внедрению Стандарта;</w:t>
      </w:r>
    </w:p>
    <w:p>
      <w:pPr>
        <w:pStyle w:val="Normal"/>
        <w:numPr>
          <w:ilvl w:val="0"/>
          <w:numId w:val="16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 xml:space="preserve">коммуникационная поддержка внедрения Стандарта в публичном пространстве и внутри органа или организации; </w:t>
      </w:r>
    </w:p>
    <w:p>
      <w:pPr>
        <w:pStyle w:val="Normal"/>
        <w:numPr>
          <w:ilvl w:val="0"/>
          <w:numId w:val="16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обучение клиентоцентричности членов рабочей группы, осуществляющей внедрение Стандарта, и групп сотрудников, являющихся исполнителями в рамках процессов реализации клиентских сценариев;</w:t>
      </w:r>
    </w:p>
    <w:p>
      <w:pPr>
        <w:pStyle w:val="Normal"/>
        <w:numPr>
          <w:ilvl w:val="0"/>
          <w:numId w:val="16"/>
        </w:numPr>
        <w:spacing w:before="0" w:after="0"/>
        <w:ind w:left="0" w:firstLine="709"/>
        <w:contextualSpacing/>
        <w:rPr>
          <w:color w:val="auto"/>
        </w:rPr>
      </w:pPr>
      <w:r>
        <w:rPr>
          <w:color w:val="auto"/>
        </w:rPr>
        <w:t>внесение изменений в действующие и принятие новых регламентных и нормативных документов, которые обеспечивают реализацию требований Стандарта.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1080" w:hanging="0"/>
        <w:rPr>
          <w:color w:val="auto"/>
        </w:rPr>
      </w:pPr>
      <w:r>
        <w:rPr>
          <w:color w:val="auto"/>
        </w:rPr>
        <w:t xml:space="preserve">11.2. Обучение сотрудников, задействованных в процессах предоставления услуг и сервисов, должно осуществляться в режиме непрерывного образования. Образовательные программы должны способствовать развитию навыков и компетенций, указанных в разделах 7 стандартов «Государство для людей» и «Государство для бизнеса». 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1080" w:hanging="0"/>
        <w:rPr>
          <w:color w:val="auto"/>
        </w:rPr>
      </w:pPr>
      <w:r>
        <w:rPr>
          <w:color w:val="auto"/>
        </w:rPr>
        <w:t>11.3. Орган и организация должен разработать модель компетенций, включающую в себя компетенции, которые соответствуют ценностям клиентоцентричного подхода в государственном управлении, и внедрить обновленную модель компетенций в кадровый цикл.</w:t>
      </w:r>
    </w:p>
    <w:p>
      <w:pPr>
        <w:pStyle w:val="Normal"/>
        <w:tabs>
          <w:tab w:val="clear" w:pos="720"/>
          <w:tab w:val="left" w:pos="851" w:leader="none"/>
        </w:tabs>
        <w:spacing w:before="0" w:after="0"/>
        <w:ind w:left="1080" w:hanging="0"/>
        <w:rPr>
          <w:color w:val="auto"/>
        </w:rPr>
      </w:pPr>
      <w:r>
        <w:rPr>
          <w:color w:val="auto"/>
        </w:rPr>
        <w:t>11.4 Управление внедрением клиентоцентричного подхода в органе государственной власти должно осуществляться в проектном формате.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709" w:hanging="0"/>
        <w:contextualSpacing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Heading2"/>
        <w:numPr>
          <w:ilvl w:val="0"/>
          <w:numId w:val="1"/>
        </w:numPr>
        <w:spacing w:before="0" w:after="0"/>
        <w:ind w:left="0" w:firstLine="709"/>
        <w:rPr>
          <w:color w:val="auto"/>
        </w:rPr>
      </w:pPr>
      <w:bookmarkStart w:id="24" w:name="_Toc107913713"/>
      <w:r>
        <w:rPr>
          <w:color w:val="auto"/>
        </w:rPr>
        <w:t>Внесение изменений и дополнений в Стандарт</w:t>
      </w:r>
      <w:bookmarkEnd w:id="24"/>
    </w:p>
    <w:p>
      <w:pPr>
        <w:pStyle w:val="211"/>
        <w:numPr>
          <w:ilvl w:val="0"/>
          <w:numId w:val="0"/>
        </w:numPr>
        <w:tabs>
          <w:tab w:val="clear" w:pos="720"/>
        </w:tabs>
        <w:spacing w:lineRule="auto" w:line="264" w:before="0" w:after="0"/>
        <w:ind w:left="0"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12.1. Органы и организации могут выступить с инициативой внесения изменений в Стандарт.</w:t>
      </w:r>
    </w:p>
    <w:p>
      <w:pPr>
        <w:pStyle w:val="211"/>
        <w:numPr>
          <w:ilvl w:val="1"/>
          <w:numId w:val="25"/>
        </w:numPr>
        <w:spacing w:lineRule="auto" w:line="264" w:before="0" w:after="0"/>
        <w:ind w:left="0"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Предложения по изменению Стандарта рассматриваются Аналитическим центром при Правительстве Российской Федерации и Минэкономразвития России.</w:t>
      </w:r>
    </w:p>
    <w:p>
      <w:pPr>
        <w:pStyle w:val="Normal"/>
        <w:numPr>
          <w:ilvl w:val="1"/>
          <w:numId w:val="25"/>
        </w:numPr>
        <w:tabs>
          <w:tab w:val="clear" w:pos="720"/>
          <w:tab w:val="left" w:pos="1440" w:leader="none"/>
        </w:tabs>
        <w:spacing w:before="0" w:after="0"/>
        <w:ind w:left="0" w:firstLine="709"/>
        <w:rPr>
          <w:color w:val="auto"/>
        </w:rPr>
      </w:pPr>
      <w:r>
        <w:rPr>
          <w:color w:val="auto"/>
        </w:rPr>
        <w:t>В случае внесения существенных изменений готовится новая редакция Стандарта.</w:t>
      </w:r>
    </w:p>
    <w:p>
      <w:pPr>
        <w:pStyle w:val="Normal"/>
        <w:numPr>
          <w:ilvl w:val="1"/>
          <w:numId w:val="25"/>
        </w:numPr>
        <w:tabs>
          <w:tab w:val="clear" w:pos="720"/>
          <w:tab w:val="left" w:pos="1440" w:leader="none"/>
        </w:tabs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Изменения утверждаются на заседании Проектного комитета федерального проекта «Государство для людей». </w:t>
      </w:r>
    </w:p>
    <w:p>
      <w:pPr>
        <w:pStyle w:val="Normal"/>
        <w:numPr>
          <w:ilvl w:val="1"/>
          <w:numId w:val="25"/>
        </w:numPr>
        <w:tabs>
          <w:tab w:val="clear" w:pos="720"/>
          <w:tab w:val="left" w:pos="1440" w:leader="none"/>
        </w:tabs>
        <w:spacing w:before="0" w:after="0"/>
        <w:ind w:left="0" w:firstLine="709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Внесение на рассмотрение в Правительство </w:t>
        <w:br/>
        <w:t xml:space="preserve">Российской Федерации проекта правового акта о внесении изменений </w:t>
        <w:br/>
        <w:t>в настоящий Стандарт по инициативе органов и организаций осуществляется при наличии согласования проекта Проектным офисом, а при отсутствии такого согласования (в случае наличия разногласий по проекту) — при наличии протокола о проведении согласительного совещания.</w:t>
      </w:r>
    </w:p>
    <w:p>
      <w:pPr>
        <w:pStyle w:val="Normal"/>
        <w:tabs>
          <w:tab w:val="clear" w:pos="720"/>
          <w:tab w:val="left" w:pos="1440" w:leader="none"/>
        </w:tabs>
        <w:spacing w:before="0" w:after="0"/>
        <w:ind w:left="709" w:hanging="0"/>
        <w:rPr>
          <w:color w:val="auto"/>
        </w:rPr>
      </w:pPr>
      <w:r>
        <w:rPr/>
      </w:r>
    </w:p>
    <w:sectPr>
      <w:headerReference w:type="default" r:id="rId12"/>
      <w:headerReference w:type="first" r:id="rId13"/>
      <w:footerReference w:type="default" r:id="rId14"/>
      <w:footerReference w:type="first" r:id="rId15"/>
      <w:footnotePr>
        <w:numFmt w:val="decimal"/>
      </w:footnotePr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Georg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U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>
        <w:sz w:val="24"/>
      </w:rPr>
    </w:pPr>
    <w:r>
      <w:rPr>
        <w:sz w:val="24"/>
      </w:rPr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left"/>
      <w:rPr>
        <w:rFonts w:ascii="Calibri" w:hAnsi="Calibri"/>
        <w:sz w:val="22"/>
      </w:rPr>
    </w:pPr>
    <w:r>
      <w:rPr>
        <w:rFonts w:ascii="Calibri" w:hAnsi="Calibri"/>
        <w:sz w:val="2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>
        <w:sz w:val="24"/>
      </w:rPr>
    </w:pPr>
    <w:r>
      <w:rPr>
        <w:sz w:val="24"/>
      </w:rPr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left"/>
      <w:rPr>
        <w:rFonts w:ascii="Calibri" w:hAnsi="Calibri"/>
        <w:sz w:val="22"/>
      </w:rPr>
    </w:pPr>
    <w:r>
      <w:rPr>
        <w:rFonts w:ascii="Calibri" w:hAnsi="Calibri"/>
        <w:sz w:val="22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>
          <w:color w:val="auto"/>
        </w:rPr>
        <w:t>Лаборатории пользовательского тестирования</w:t>
      </w:r>
      <w:r>
        <w:rPr/>
        <w:t xml:space="preserve">  является специализированным подразделением Проектного офиса, осуществляющим тестирование прототипов приоритетных услуг и сервисов на целевых аудиториях клиентов.</w:t>
      </w:r>
    </w:p>
  </w:footnote>
  <w:footnote w:id="3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 xml:space="preserve">В этих целях рекомендуется применение разработанных Минтрудом России </w:t>
      </w:r>
      <w:r>
        <w:rPr>
          <w:rFonts w:ascii="SegoeUI" w:hAnsi="SegoeUI"/>
          <w:color w:val="333333"/>
          <w:shd w:fill="FFFFFF" w:val="clear"/>
        </w:rPr>
        <w:t> </w:t>
      </w:r>
      <w:hyperlink r:id="rId1" w:tgtFrame="_blank">
        <w:r>
          <w:rPr>
            <w:rStyle w:val="Hyperlink"/>
            <w:rFonts w:ascii="SegoeUI" w:hAnsi="SegoeUI"/>
            <w:color w:val="337AB7"/>
            <w:shd w:fill="FFFFFF" w:val="clear"/>
          </w:rPr>
          <w:t>Методических рекомендаций по вопросам организации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государственной гражданской и муниципальной службе</w:t>
        </w:r>
      </w:hyperlink>
      <w:r>
        <w:rPr/>
        <w:t>: https://mintrud.gov.ru/ministry/programms/gossluzhba/16/17.</w:t>
      </w:r>
    </w:p>
  </w:footnote>
  <w:footnote w:id="4">
    <w:p>
      <w:pPr>
        <w:pStyle w:val="FootnoteText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 xml:space="preserve">В целях формирования организационной культуры в органах и организациях рекомендуется использовать разработанную Минтрудом России </w:t>
      </w:r>
      <w:r>
        <w:rPr>
          <w:rFonts w:ascii="SegoeUI" w:hAnsi="SegoeUI"/>
          <w:color w:val="333333"/>
          <w:shd w:fill="FFFFFF" w:val="clear"/>
        </w:rPr>
        <w:t> </w:t>
      </w:r>
      <w:hyperlink r:id="rId2">
        <w:r>
          <w:rPr>
            <w:rStyle w:val="Hyperlink"/>
            <w:rFonts w:ascii="SegoeUI" w:hAnsi="SegoeUI"/>
            <w:shd w:fill="FFFFFF" w:val="clear"/>
          </w:rPr>
          <w:t>Методику формирования и развития профессиональной культуры государственного органа</w:t>
        </w:r>
      </w:hyperlink>
      <w:r>
        <w:rPr>
          <w:rFonts w:ascii="SegoeUI" w:hAnsi="SegoeUI"/>
          <w:color w:val="333333"/>
          <w:shd w:fill="FFFFFF" w:val="clear"/>
        </w:rPr>
        <w:t> </w:t>
      </w:r>
      <w:r>
        <w:rPr/>
        <w:t xml:space="preserve"> </w:t>
      </w:r>
      <w:hyperlink r:id="rId3">
        <w:r>
          <w:rPr>
            <w:rStyle w:val="Hyperlink"/>
          </w:rPr>
          <w:t>https://mintrud.gov.ru/ministry/programms/gossluzhba/16/15</w:t>
        </w:r>
      </w:hyperlink>
    </w:p>
  </w:footnote>
  <w:footnote w:id="5">
    <w:p>
      <w:pPr>
        <w:pStyle w:val="Footnote1"/>
        <w:rPr>
          <w:lang w:val="en-US"/>
        </w:rPr>
      </w:pPr>
      <w:r>
        <w:rPr>
          <w:rStyle w:val="Style9"/>
        </w:rPr>
        <w:footnoteRef/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URL: </w:t>
      </w:r>
      <w:r>
        <w:rPr>
          <w:lang w:val="en-US"/>
        </w:rPr>
        <w:t>https://mintrud.gov.ru/ministry/programms/gossluzhba/16/16</w:t>
      </w:r>
    </w:p>
    <w:p>
      <w:pPr>
        <w:pStyle w:val="Footnote1"/>
        <w:rPr>
          <w:lang w:val="en-US"/>
        </w:rPr>
      </w:pPr>
      <w:r>
        <w:rPr>
          <w:rFonts w:ascii="Times New Roman" w:hAnsi="Times New Roman"/>
          <w:vertAlign w:val="superscript"/>
          <w:lang w:val="en-US"/>
        </w:rPr>
        <w:t>2</w:t>
      </w:r>
      <w:r>
        <w:rPr>
          <w:rFonts w:ascii="Times New Roman" w:hAnsi="Times New Roman"/>
          <w:lang w:val="en-US"/>
        </w:rPr>
        <w:t xml:space="preserve"> URL: </w:t>
      </w:r>
      <w:r>
        <w:rPr>
          <w:lang w:val="en-US"/>
        </w:rPr>
        <w:t>https://cdto.work/documents/methodical-recommendation-360.pdf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0.05pt;mso-position-vertical-relative:text;margin-left:230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226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357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4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226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566" w:hanging="434"/>
      </w:pPr>
      <w:rPr>
        <w:sz w:val="28"/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5"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  <w:rPr>
        <w:sz w:val="28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3">
    <w:lvl w:ilvl="0">
      <w:start w:val="1"/>
      <w:numFmt w:val="decimal"/>
      <w:lvlText w:val="7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18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left"/>
      <w:pPr>
        <w:tabs>
          <w:tab w:val="num" w:pos="0"/>
        </w:tabs>
        <w:ind w:left="702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74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846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918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990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062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134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206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2783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u w:val="none"/>
      </w:rPr>
    </w:lvl>
  </w:abstractNum>
  <w:abstractNum w:abstractNumId="23">
    <w:lvl w:ilvl="0">
      <w:start w:val="1"/>
      <w:numFmt w:val="decimal"/>
      <w:lvlText w:val="5.%1."/>
      <w:lvlJc w:val="left"/>
      <w:pPr>
        <w:tabs>
          <w:tab w:val="num" w:pos="0"/>
        </w:tabs>
        <w:ind w:left="25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5">
    <w:lvl w:ilvl="0">
      <w:start w:val="12"/>
      <w:numFmt w:val="decimal"/>
      <w:lvlText w:val="%1."/>
      <w:lvlJc w:val="left"/>
      <w:pPr>
        <w:tabs>
          <w:tab w:val="num" w:pos="0"/>
        </w:tabs>
        <w:ind w:left="600" w:hanging="60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864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7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6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327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24461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617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824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" w:hanging="216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77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d865bd"/>
    <w:pPr>
      <w:widowControl/>
      <w:bidi w:val="0"/>
      <w:spacing w:lineRule="auto" w:line="264" w:before="0" w:after="16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4"/>
    <w:uiPriority w:val="9"/>
    <w:qFormat/>
    <w:rsid w:val="00d865bd"/>
    <w:pPr>
      <w:keepNext w:val="true"/>
      <w:keepLines/>
      <w:spacing w:before="240" w:after="360"/>
      <w:jc w:val="center"/>
      <w:outlineLvl w:val="0"/>
    </w:pPr>
    <w:rPr/>
  </w:style>
  <w:style w:type="paragraph" w:styleId="Heading2">
    <w:name w:val="Heading 2"/>
    <w:basedOn w:val="Normal"/>
    <w:next w:val="Normal"/>
    <w:link w:val="22"/>
    <w:uiPriority w:val="9"/>
    <w:qFormat/>
    <w:rsid w:val="00d865bd"/>
    <w:pPr>
      <w:keepNext w:val="true"/>
      <w:keepLines/>
      <w:numPr>
        <w:ilvl w:val="0"/>
        <w:numId w:val="1"/>
      </w:numPr>
      <w:spacing w:before="40" w:after="120"/>
      <w:outlineLvl w:val="1"/>
    </w:pPr>
    <w:rPr>
      <w:b/>
    </w:rPr>
  </w:style>
  <w:style w:type="paragraph" w:styleId="Heading3">
    <w:name w:val="Heading 3"/>
    <w:basedOn w:val="Normal"/>
    <w:next w:val="Normal"/>
    <w:link w:val="3"/>
    <w:uiPriority w:val="9"/>
    <w:qFormat/>
    <w:rsid w:val="00d865bd"/>
    <w:pPr>
      <w:keepNext w:val="true"/>
      <w:keepLines/>
      <w:tabs>
        <w:tab w:val="clear" w:pos="720"/>
        <w:tab w:val="left" w:pos="709" w:leader="none"/>
      </w:tabs>
      <w:spacing w:before="40" w:after="0"/>
      <w:outlineLvl w:val="2"/>
    </w:pPr>
    <w:rPr>
      <w:b/>
      <w:i/>
    </w:rPr>
  </w:style>
  <w:style w:type="paragraph" w:styleId="Heading4">
    <w:name w:val="Heading 4"/>
    <w:basedOn w:val="Normal"/>
    <w:next w:val="Normal"/>
    <w:link w:val="42"/>
    <w:uiPriority w:val="9"/>
    <w:qFormat/>
    <w:rsid w:val="00d865bd"/>
    <w:pPr>
      <w:keepNext w:val="true"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5"/>
    <w:uiPriority w:val="9"/>
    <w:qFormat/>
    <w:rsid w:val="00d865bd"/>
    <w:pPr>
      <w:keepNext w:val="true"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1"/>
    <w:uiPriority w:val="9"/>
    <w:qFormat/>
    <w:rsid w:val="00d865bd"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d865bd"/>
    <w:rPr/>
  </w:style>
  <w:style w:type="character" w:styleId="Style3" w:customStyle="1">
    <w:name w:val="Заголовок оглавления Знак"/>
    <w:basedOn w:val="14"/>
    <w:qFormat/>
    <w:rsid w:val="00d865bd"/>
    <w:rPr>
      <w:rFonts w:ascii="Calibri Light" w:hAnsi="Calibri Light" w:asciiTheme="majorHAnsi" w:hAnsiTheme="majorHAnsi"/>
      <w:color w:val="2E74B5" w:themeColor="accent1" w:themeShade="bf"/>
      <w:sz w:val="32"/>
    </w:rPr>
  </w:style>
  <w:style w:type="character" w:styleId="11" w:customStyle="1">
    <w:name w:val="АЦ КЦ Нумерация 1"/>
    <w:basedOn w:val="Style4"/>
    <w:link w:val="111"/>
    <w:qFormat/>
    <w:rsid w:val="00d865bd"/>
    <w:rPr>
      <w:rFonts w:ascii="Arial" w:hAnsi="Arial"/>
      <w:b/>
      <w:sz w:val="24"/>
    </w:rPr>
  </w:style>
  <w:style w:type="character" w:styleId="2" w:customStyle="1">
    <w:name w:val="Оглавление 2 Знак"/>
    <w:basedOn w:val="1"/>
    <w:qFormat/>
    <w:rsid w:val="00d865bd"/>
    <w:rPr/>
  </w:style>
  <w:style w:type="character" w:styleId="4" w:customStyle="1">
    <w:name w:val="Оглавление 4 Знак"/>
    <w:qFormat/>
    <w:rsid w:val="00d865bd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d865bd"/>
    <w:rPr>
      <w:color w:val="000000"/>
      <w:sz w:val="24"/>
    </w:rPr>
  </w:style>
  <w:style w:type="character" w:styleId="6" w:customStyle="1">
    <w:name w:val="Оглавление 6 Знак"/>
    <w:qFormat/>
    <w:rsid w:val="00d865bd"/>
    <w:rPr>
      <w:rFonts w:ascii="XO Thames" w:hAnsi="XO Thames"/>
      <w:sz w:val="28"/>
    </w:rPr>
  </w:style>
  <w:style w:type="character" w:styleId="Style4" w:customStyle="1">
    <w:name w:val="Абзац списка Знак"/>
    <w:basedOn w:val="1"/>
    <w:link w:val="ListParagraph"/>
    <w:qFormat/>
    <w:rsid w:val="00d865bd"/>
    <w:rPr>
      <w:rFonts w:ascii="Calibri" w:hAnsi="Calibri"/>
    </w:rPr>
  </w:style>
  <w:style w:type="character" w:styleId="7" w:customStyle="1">
    <w:name w:val="Оглавление 7 Знак"/>
    <w:qFormat/>
    <w:rsid w:val="00d865bd"/>
    <w:rPr>
      <w:rFonts w:ascii="XO Thames" w:hAnsi="XO Thames"/>
      <w:sz w:val="28"/>
    </w:rPr>
  </w:style>
  <w:style w:type="character" w:styleId="Style5" w:customStyle="1">
    <w:name w:val="РАНХиГС Текст сноски"/>
    <w:link w:val="17"/>
    <w:qFormat/>
    <w:rsid w:val="00d865bd"/>
    <w:rPr>
      <w:rFonts w:ascii="Arial" w:hAnsi="Arial"/>
      <w:color w:val="000000"/>
      <w:sz w:val="16"/>
    </w:rPr>
  </w:style>
  <w:style w:type="character" w:styleId="3" w:customStyle="1">
    <w:name w:val="Заголовок 3 Знак"/>
    <w:basedOn w:val="1"/>
    <w:qFormat/>
    <w:rsid w:val="00d865bd"/>
    <w:rPr>
      <w:b/>
      <w:i/>
    </w:rPr>
  </w:style>
  <w:style w:type="character" w:styleId="Apple-tab-span" w:customStyle="1">
    <w:name w:val="apple-tab-span"/>
    <w:basedOn w:val="DefaultParagraphFont"/>
    <w:link w:val="Apple-tab-span1"/>
    <w:qFormat/>
    <w:rsid w:val="00d865bd"/>
    <w:rPr/>
  </w:style>
  <w:style w:type="character" w:styleId="12" w:customStyle="1">
    <w:name w:val="РАНХиГС Маркер 1"/>
    <w:link w:val="112"/>
    <w:qFormat/>
    <w:rsid w:val="00d865bd"/>
    <w:rPr>
      <w:rFonts w:ascii="Arial" w:hAnsi="Arial"/>
      <w:color w:val="000000" w:themeColor="text1"/>
      <w:sz w:val="20"/>
    </w:rPr>
  </w:style>
  <w:style w:type="character" w:styleId="Style6" w:customStyle="1">
    <w:name w:val="Обычный (веб) Знак"/>
    <w:basedOn w:val="1"/>
    <w:link w:val="NormalWeb"/>
    <w:qFormat/>
    <w:rsid w:val="00d865bd"/>
    <w:rPr>
      <w:sz w:val="24"/>
    </w:rPr>
  </w:style>
  <w:style w:type="character" w:styleId="31" w:customStyle="1">
    <w:name w:val="Оглавление 3 Знак"/>
    <w:basedOn w:val="1"/>
    <w:qFormat/>
    <w:rsid w:val="00d865bd"/>
    <w:rPr/>
  </w:style>
  <w:style w:type="character" w:styleId="Style7" w:customStyle="1">
    <w:name w:val="Текст выноски Знак"/>
    <w:basedOn w:val="1"/>
    <w:link w:val="BalloonText"/>
    <w:qFormat/>
    <w:rsid w:val="00d865bd"/>
    <w:rPr>
      <w:rFonts w:ascii="Segoe UI" w:hAnsi="Segoe UI"/>
      <w:sz w:val="18"/>
    </w:rPr>
  </w:style>
  <w:style w:type="character" w:styleId="Style8" w:customStyle="1">
    <w:name w:val="Ненум.Поинт"/>
    <w:basedOn w:val="Style20"/>
    <w:link w:val="18"/>
    <w:qFormat/>
    <w:rsid w:val="00d865bd"/>
    <w:rPr>
      <w:rFonts w:ascii="Times New Roman" w:hAnsi="Times New Roman"/>
    </w:rPr>
  </w:style>
  <w:style w:type="character" w:styleId="Style9">
    <w:name w:val="Символ сноски"/>
    <w:basedOn w:val="DefaultParagraphFont"/>
    <w:link w:val="19"/>
    <w:qFormat/>
    <w:rsid w:val="00d865b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примечания Знак"/>
    <w:basedOn w:val="1"/>
    <w:link w:val="Annotationtext"/>
    <w:qFormat/>
    <w:rsid w:val="00d865bd"/>
    <w:rPr>
      <w:rFonts w:ascii="Calibri" w:hAnsi="Calibri"/>
      <w:sz w:val="20"/>
    </w:rPr>
  </w:style>
  <w:style w:type="character" w:styleId="13" w:customStyle="1">
    <w:name w:val="АЦ КЦ Маркер 1"/>
    <w:basedOn w:val="Style4"/>
    <w:link w:val="113"/>
    <w:qFormat/>
    <w:rsid w:val="00d865bd"/>
    <w:rPr>
      <w:rFonts w:ascii="Arial" w:hAnsi="Arial"/>
      <w:sz w:val="24"/>
    </w:rPr>
  </w:style>
  <w:style w:type="character" w:styleId="Style11" w:customStyle="1">
    <w:name w:val="РАНХиГС Таблица шапка"/>
    <w:link w:val="110"/>
    <w:qFormat/>
    <w:rsid w:val="00d865bd"/>
    <w:rPr>
      <w:rFonts w:ascii="Arial" w:hAnsi="Arial"/>
      <w:b/>
      <w:color w:val="000000" w:themeColor="text1"/>
      <w:sz w:val="20"/>
    </w:rPr>
  </w:style>
  <w:style w:type="character" w:styleId="5" w:customStyle="1">
    <w:name w:val="Заголовок 5 Знак"/>
    <w:basedOn w:val="1"/>
    <w:qFormat/>
    <w:rsid w:val="00d865bd"/>
    <w:rPr>
      <w:b/>
      <w:sz w:val="22"/>
    </w:rPr>
  </w:style>
  <w:style w:type="character" w:styleId="Annotationreference">
    <w:name w:val="annotation reference"/>
    <w:basedOn w:val="DefaultParagraphFont"/>
    <w:link w:val="114"/>
    <w:qFormat/>
    <w:rsid w:val="00d865bd"/>
    <w:rPr>
      <w:sz w:val="16"/>
    </w:rPr>
  </w:style>
  <w:style w:type="character" w:styleId="14" w:customStyle="1">
    <w:name w:val="Заголовок 1 Знак"/>
    <w:basedOn w:val="1"/>
    <w:qFormat/>
    <w:rsid w:val="00d865bd"/>
    <w:rPr/>
  </w:style>
  <w:style w:type="character" w:styleId="32" w:customStyle="1">
    <w:name w:val="АЦ КЦ Нумерация 3"/>
    <w:basedOn w:val="Style4"/>
    <w:link w:val="311"/>
    <w:qFormat/>
    <w:rsid w:val="00d865bd"/>
    <w:rPr>
      <w:rFonts w:ascii="Arial" w:hAnsi="Arial"/>
      <w:sz w:val="24"/>
    </w:rPr>
  </w:style>
  <w:style w:type="character" w:styleId="Hyperlink">
    <w:name w:val="Hyperlink"/>
    <w:basedOn w:val="DefaultParagraphFont"/>
    <w:link w:val="115"/>
    <w:uiPriority w:val="99"/>
    <w:rsid w:val="00d865bd"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sid w:val="00d865bd"/>
    <w:rPr>
      <w:rFonts w:ascii="Calibri" w:hAnsi="Calibri"/>
      <w:sz w:val="20"/>
    </w:rPr>
  </w:style>
  <w:style w:type="character" w:styleId="15" w:customStyle="1">
    <w:name w:val="Оглавление 1 Знак"/>
    <w:basedOn w:val="1"/>
    <w:qFormat/>
    <w:rsid w:val="00d865bd"/>
    <w:rPr/>
  </w:style>
  <w:style w:type="character" w:styleId="Style12" w:customStyle="1">
    <w:name w:val="Верхний колонтитул Знак"/>
    <w:basedOn w:val="1"/>
    <w:qFormat/>
    <w:rsid w:val="00d865bd"/>
    <w:rPr>
      <w:rFonts w:ascii="Calibri" w:hAnsi="Calibri"/>
      <w:sz w:val="22"/>
    </w:rPr>
  </w:style>
  <w:style w:type="character" w:styleId="Style13" w:customStyle="1">
    <w:name w:val="Тема примечания Знак"/>
    <w:basedOn w:val="Style10"/>
    <w:link w:val="Annotationsubject"/>
    <w:qFormat/>
    <w:rsid w:val="00d865bd"/>
    <w:rPr>
      <w:rFonts w:ascii="Calibri" w:hAnsi="Calibri"/>
      <w:b/>
      <w:sz w:val="20"/>
    </w:rPr>
  </w:style>
  <w:style w:type="character" w:styleId="HeaderandFooter" w:customStyle="1">
    <w:name w:val="Header and Footer"/>
    <w:qFormat/>
    <w:rsid w:val="00d865bd"/>
    <w:rPr>
      <w:rFonts w:ascii="XO Thames" w:hAnsi="XO Thames"/>
      <w:sz w:val="20"/>
    </w:rPr>
  </w:style>
  <w:style w:type="character" w:styleId="Style14" w:customStyle="1">
    <w:name w:val="РАНХиГС Таблица текст"/>
    <w:link w:val="116"/>
    <w:qFormat/>
    <w:rsid w:val="00d865bd"/>
    <w:rPr>
      <w:rFonts w:ascii="Arial" w:hAnsi="Arial"/>
      <w:sz w:val="20"/>
    </w:rPr>
  </w:style>
  <w:style w:type="character" w:styleId="9" w:customStyle="1">
    <w:name w:val="Оглавление 9 Знак"/>
    <w:qFormat/>
    <w:rsid w:val="00d865bd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d865bd"/>
    <w:rPr>
      <w:rFonts w:ascii="XO Thames" w:hAnsi="XO Thames"/>
      <w:sz w:val="28"/>
    </w:rPr>
  </w:style>
  <w:style w:type="character" w:styleId="16" w:customStyle="1">
    <w:name w:val="РАНХиГС Таблица маркер 1"/>
    <w:link w:val="117"/>
    <w:qFormat/>
    <w:rsid w:val="00d865bd"/>
    <w:rPr>
      <w:rFonts w:ascii="Arial" w:hAnsi="Arial"/>
      <w:color w:val="000000" w:themeColor="text1"/>
      <w:sz w:val="20"/>
    </w:rPr>
  </w:style>
  <w:style w:type="character" w:styleId="41" w:customStyle="1">
    <w:name w:val="АЦ КЦ Нумерация 4"/>
    <w:basedOn w:val="Style4"/>
    <w:link w:val="411"/>
    <w:qFormat/>
    <w:rsid w:val="00d865bd"/>
    <w:rPr>
      <w:rFonts w:ascii="Arial" w:hAnsi="Arial"/>
      <w:sz w:val="24"/>
    </w:rPr>
  </w:style>
  <w:style w:type="character" w:styleId="21" w:customStyle="1">
    <w:name w:val="АЦ КЦ Нумерация 2"/>
    <w:basedOn w:val="Style4"/>
    <w:link w:val="211"/>
    <w:qFormat/>
    <w:rsid w:val="00d865bd"/>
    <w:rPr>
      <w:rFonts w:ascii="Arial" w:hAnsi="Arial"/>
      <w:sz w:val="24"/>
    </w:rPr>
  </w:style>
  <w:style w:type="character" w:styleId="51" w:customStyle="1">
    <w:name w:val="Оглавление 5 Знак"/>
    <w:basedOn w:val="1"/>
    <w:qFormat/>
    <w:rsid w:val="00d865bd"/>
    <w:rPr>
      <w:sz w:val="20"/>
    </w:rPr>
  </w:style>
  <w:style w:type="character" w:styleId="Style15" w:customStyle="1">
    <w:name w:val="Нижний колонтитул Знак"/>
    <w:basedOn w:val="1"/>
    <w:qFormat/>
    <w:rsid w:val="00d865bd"/>
    <w:rPr>
      <w:rFonts w:ascii="Calibri" w:hAnsi="Calibri"/>
    </w:rPr>
  </w:style>
  <w:style w:type="character" w:styleId="Style16" w:customStyle="1">
    <w:name w:val="Подзаголовок Знак"/>
    <w:basedOn w:val="1"/>
    <w:qFormat/>
    <w:rsid w:val="00d865bd"/>
    <w:rPr>
      <w:rFonts w:ascii="Georgia" w:hAnsi="Georgia"/>
      <w:i/>
      <w:color w:val="666666"/>
      <w:sz w:val="48"/>
    </w:rPr>
  </w:style>
  <w:style w:type="character" w:styleId="Style17" w:customStyle="1">
    <w:name w:val="Нум.Список"/>
    <w:basedOn w:val="1"/>
    <w:link w:val="119"/>
    <w:qFormat/>
    <w:rsid w:val="00d865bd"/>
    <w:rPr/>
  </w:style>
  <w:style w:type="character" w:styleId="Style18" w:customStyle="1">
    <w:name w:val="Название Знак"/>
    <w:basedOn w:val="1"/>
    <w:qFormat/>
    <w:rsid w:val="00d865bd"/>
    <w:rPr>
      <w:b/>
      <w:sz w:val="72"/>
    </w:rPr>
  </w:style>
  <w:style w:type="character" w:styleId="42" w:customStyle="1">
    <w:name w:val="Заголовок 4 Знак"/>
    <w:basedOn w:val="1"/>
    <w:qFormat/>
    <w:rsid w:val="00d865bd"/>
    <w:rPr>
      <w:b/>
      <w:sz w:val="24"/>
    </w:rPr>
  </w:style>
  <w:style w:type="character" w:styleId="Style19" w:customStyle="1">
    <w:name w:val="РАНХиГС Название таблицы"/>
    <w:link w:val="120"/>
    <w:qFormat/>
    <w:rsid w:val="00d865bd"/>
    <w:rPr>
      <w:rFonts w:ascii="Arial" w:hAnsi="Arial"/>
      <w:color w:val="000000"/>
      <w:sz w:val="20"/>
    </w:rPr>
  </w:style>
  <w:style w:type="character" w:styleId="22" w:customStyle="1">
    <w:name w:val="Заголовок 2 Знак"/>
    <w:basedOn w:val="1"/>
    <w:uiPriority w:val="9"/>
    <w:qFormat/>
    <w:rsid w:val="00d865bd"/>
    <w:rPr>
      <w:b/>
    </w:rPr>
  </w:style>
  <w:style w:type="character" w:styleId="61" w:customStyle="1">
    <w:name w:val="Заголовок 6 Знак"/>
    <w:basedOn w:val="1"/>
    <w:qFormat/>
    <w:rsid w:val="00d865bd"/>
    <w:rPr>
      <w:b/>
      <w:sz w:val="20"/>
    </w:rPr>
  </w:style>
  <w:style w:type="character" w:styleId="Style20" w:customStyle="1">
    <w:name w:val="Абз.Стандарта"/>
    <w:basedOn w:val="Style4"/>
    <w:link w:val="121"/>
    <w:qFormat/>
    <w:rsid w:val="00d865bd"/>
    <w:rPr>
      <w:rFonts w:ascii="Calibri" w:hAnsi="Calibri"/>
    </w:rPr>
  </w:style>
  <w:style w:type="character" w:styleId="Style21" w:customStyle="1">
    <w:name w:val="Текст сноски Знак"/>
    <w:basedOn w:val="DefaultParagraphFont"/>
    <w:link w:val="Footnote1"/>
    <w:uiPriority w:val="99"/>
    <w:semiHidden/>
    <w:qFormat/>
    <w:rsid w:val="00624aa7"/>
    <w:rPr>
      <w:sz w:val="20"/>
    </w:rPr>
  </w:style>
  <w:style w:type="character" w:styleId="Style22" w:customStyle="1">
    <w:name w:val="Абз.Стандарта Знак"/>
    <w:basedOn w:val="DefaultParagraphFont"/>
    <w:qFormat/>
    <w:locked/>
    <w:rsid w:val="005d6b5f"/>
    <w:rPr/>
  </w:style>
  <w:style w:type="character" w:styleId="Style23">
    <w:name w:val="Ссылка указателя"/>
    <w:qFormat/>
    <w:rPr/>
  </w:style>
  <w:style w:type="character" w:styleId="EndnoteReference">
    <w:name w:val="Endnote Reference"/>
    <w:rPr>
      <w:vertAlign w:val="superscript"/>
    </w:rPr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Style25"/>
    <w:pPr/>
    <w:rPr/>
  </w:style>
  <w:style w:type="paragraph" w:styleId="TOCHeading">
    <w:name w:val="TOC Heading"/>
    <w:basedOn w:val="Heading1"/>
    <w:next w:val="Normal"/>
    <w:link w:val="Style3"/>
    <w:qFormat/>
    <w:rsid w:val="00d865bd"/>
    <w:pPr>
      <w:spacing w:before="240" w:after="0"/>
      <w:jc w:val="left"/>
      <w:outlineLvl w:val="8"/>
    </w:pPr>
    <w:rPr>
      <w:rFonts w:ascii="Calibri Light" w:hAnsi="Calibri Light" w:asciiTheme="majorHAnsi" w:hAnsiTheme="majorHAnsi"/>
      <w:color w:val="2E74B5" w:themeColor="accent1" w:themeShade="bf"/>
      <w:sz w:val="32"/>
    </w:rPr>
  </w:style>
  <w:style w:type="paragraph" w:styleId="111" w:customStyle="1">
    <w:name w:val="АЦ КЦ Нумерация 11"/>
    <w:basedOn w:val="ListParagraph"/>
    <w:link w:val="11"/>
    <w:qFormat/>
    <w:rsid w:val="00d865bd"/>
    <w:pPr>
      <w:numPr>
        <w:ilvl w:val="0"/>
        <w:numId w:val="17"/>
      </w:numPr>
      <w:spacing w:lineRule="auto" w:line="360" w:before="120" w:after="120"/>
      <w:contextualSpacing w:val="false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link w:val="2"/>
    <w:uiPriority w:val="39"/>
    <w:rsid w:val="00d865bd"/>
    <w:pPr>
      <w:tabs>
        <w:tab w:val="clear" w:pos="720"/>
        <w:tab w:val="left" w:pos="660" w:leader="none"/>
        <w:tab w:val="right" w:pos="9345" w:leader="none"/>
      </w:tabs>
      <w:spacing w:before="0" w:after="100"/>
      <w:ind w:left="220" w:hanging="0"/>
    </w:pPr>
    <w:rPr/>
  </w:style>
  <w:style w:type="paragraph" w:styleId="TOC4">
    <w:name w:val="TOC 4"/>
    <w:next w:val="Normal"/>
    <w:link w:val="4"/>
    <w:uiPriority w:val="39"/>
    <w:rsid w:val="00d865bd"/>
    <w:pPr>
      <w:widowControl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Default1" w:customStyle="1">
    <w:name w:val="Default1"/>
    <w:link w:val="Default"/>
    <w:qFormat/>
    <w:rsid w:val="00d865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d865bd"/>
    <w:pPr>
      <w:widowControl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4"/>
    <w:qFormat/>
    <w:rsid w:val="00d865bd"/>
    <w:pPr>
      <w:spacing w:lineRule="auto" w:line="276" w:before="0" w:after="200"/>
      <w:ind w:left="720" w:hanging="0"/>
      <w:contextualSpacing/>
    </w:pPr>
    <w:rPr>
      <w:rFonts w:ascii="Calibri" w:hAnsi="Calibri"/>
    </w:rPr>
  </w:style>
  <w:style w:type="paragraph" w:styleId="TOC7">
    <w:name w:val="TOC 7"/>
    <w:next w:val="Normal"/>
    <w:link w:val="7"/>
    <w:uiPriority w:val="39"/>
    <w:rsid w:val="00d865bd"/>
    <w:pPr>
      <w:widowControl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РАНХиГС Текст сноски1"/>
    <w:link w:val="Style5"/>
    <w:qFormat/>
    <w:rsid w:val="00d865bd"/>
    <w:pPr>
      <w:widowControl/>
      <w:bidi w:val="0"/>
      <w:spacing w:lineRule="auto" w:line="360" w:before="120" w:after="120"/>
      <w:jc w:val="both"/>
    </w:pPr>
    <w:rPr>
      <w:rFonts w:ascii="Arial" w:hAnsi="Arial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Apple-tab-span1" w:customStyle="1">
    <w:name w:val="apple-tab-span1"/>
    <w:basedOn w:val="118"/>
    <w:link w:val="Apple-tab-span"/>
    <w:qFormat/>
    <w:rsid w:val="00d865bd"/>
    <w:pPr/>
    <w:rPr/>
  </w:style>
  <w:style w:type="paragraph" w:styleId="112" w:customStyle="1">
    <w:name w:val="РАНХиГС Маркер 11"/>
    <w:link w:val="12"/>
    <w:qFormat/>
    <w:rsid w:val="00d865bd"/>
    <w:pPr>
      <w:widowControl/>
      <w:numPr>
        <w:ilvl w:val="0"/>
        <w:numId w:val="18"/>
      </w:numPr>
      <w:bidi w:val="0"/>
      <w:spacing w:lineRule="auto" w:line="360" w:before="120" w:after="120"/>
      <w:jc w:val="both"/>
    </w:pPr>
    <w:rPr>
      <w:rFonts w:ascii="Arial" w:hAnsi="Arial" w:eastAsia="Times New Roman" w:cs="Times New Roman"/>
      <w:color w:val="000000" w:themeColor="text1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6"/>
    <w:qFormat/>
    <w:rsid w:val="00d865bd"/>
    <w:pPr>
      <w:spacing w:lineRule="auto" w:line="240" w:beforeAutospacing="1" w:afterAutospacing="1"/>
    </w:pPr>
    <w:rPr>
      <w:sz w:val="24"/>
    </w:rPr>
  </w:style>
  <w:style w:type="paragraph" w:styleId="TOC3">
    <w:name w:val="TOC 3"/>
    <w:basedOn w:val="Normal"/>
    <w:next w:val="Normal"/>
    <w:link w:val="31"/>
    <w:uiPriority w:val="39"/>
    <w:rsid w:val="00d865bd"/>
    <w:pPr>
      <w:spacing w:before="0" w:after="100"/>
      <w:ind w:left="440" w:hanging="0"/>
    </w:pPr>
    <w:rPr/>
  </w:style>
  <w:style w:type="paragraph" w:styleId="BalloonText">
    <w:name w:val="Balloon Text"/>
    <w:basedOn w:val="Normal"/>
    <w:link w:val="Style7"/>
    <w:qFormat/>
    <w:rsid w:val="00d865bd"/>
    <w:pPr>
      <w:spacing w:lineRule="auto" w:line="240" w:before="0" w:after="0"/>
    </w:pPr>
    <w:rPr>
      <w:rFonts w:ascii="Segoe UI" w:hAnsi="Segoe UI"/>
      <w:sz w:val="18"/>
    </w:rPr>
  </w:style>
  <w:style w:type="paragraph" w:styleId="18" w:customStyle="1">
    <w:name w:val="Ненум.Поинт1"/>
    <w:basedOn w:val="121"/>
    <w:link w:val="Style8"/>
    <w:qFormat/>
    <w:rsid w:val="00d865bd"/>
    <w:pPr>
      <w:numPr>
        <w:ilvl w:val="0"/>
        <w:numId w:val="19"/>
      </w:numPr>
      <w:ind w:left="851" w:hanging="567"/>
    </w:pPr>
    <w:rPr/>
  </w:style>
  <w:style w:type="paragraph" w:styleId="19" w:customStyle="1">
    <w:name w:val="Знак сноски1"/>
    <w:basedOn w:val="118"/>
    <w:qFormat/>
    <w:rsid w:val="00d865bd"/>
    <w:pPr/>
    <w:rPr>
      <w:vertAlign w:val="superscript"/>
    </w:rPr>
  </w:style>
  <w:style w:type="paragraph" w:styleId="Annotationtext">
    <w:name w:val="annotation text"/>
    <w:basedOn w:val="Normal"/>
    <w:link w:val="Style10"/>
    <w:qFormat/>
    <w:rsid w:val="00d865bd"/>
    <w:pPr>
      <w:spacing w:lineRule="auto" w:line="240"/>
    </w:pPr>
    <w:rPr>
      <w:rFonts w:ascii="Calibri" w:hAnsi="Calibri"/>
      <w:sz w:val="20"/>
    </w:rPr>
  </w:style>
  <w:style w:type="paragraph" w:styleId="113" w:customStyle="1">
    <w:name w:val="АЦ КЦ Маркер 11"/>
    <w:basedOn w:val="ListParagraph"/>
    <w:link w:val="13"/>
    <w:qFormat/>
    <w:rsid w:val="00d865bd"/>
    <w:pPr>
      <w:numPr>
        <w:ilvl w:val="3"/>
        <w:numId w:val="20"/>
      </w:numPr>
      <w:tabs>
        <w:tab w:val="clear" w:pos="720"/>
        <w:tab w:val="left" w:pos="360" w:leader="none"/>
      </w:tabs>
      <w:spacing w:lineRule="auto" w:line="360" w:before="120" w:after="120"/>
      <w:ind w:left="720" w:hanging="0"/>
      <w:contextualSpacing w:val="false"/>
    </w:pPr>
    <w:rPr>
      <w:rFonts w:ascii="Arial" w:hAnsi="Arial"/>
      <w:sz w:val="24"/>
    </w:rPr>
  </w:style>
  <w:style w:type="paragraph" w:styleId="110" w:customStyle="1">
    <w:name w:val="РАНХиГС Таблица шапка1"/>
    <w:link w:val="Style11"/>
    <w:qFormat/>
    <w:rsid w:val="00d865bd"/>
    <w:pPr>
      <w:keepNext w:val="true"/>
      <w:keepLines/>
      <w:widowControl/>
      <w:bidi w:val="0"/>
      <w:spacing w:lineRule="auto" w:line="360" w:before="120" w:after="120"/>
      <w:jc w:val="center"/>
    </w:pPr>
    <w:rPr>
      <w:rFonts w:ascii="Arial" w:hAnsi="Arial" w:eastAsia="Times New Roman" w:cs="Times New Roman"/>
      <w:b/>
      <w:color w:val="000000" w:themeColor="text1"/>
      <w:kern w:val="0"/>
      <w:sz w:val="20"/>
      <w:szCs w:val="20"/>
      <w:lang w:val="ru-RU" w:eastAsia="ru-RU" w:bidi="ar-SA"/>
    </w:rPr>
  </w:style>
  <w:style w:type="paragraph" w:styleId="114" w:customStyle="1">
    <w:name w:val="Знак примечания1"/>
    <w:basedOn w:val="118"/>
    <w:link w:val="Annotationreference"/>
    <w:qFormat/>
    <w:rsid w:val="00d865bd"/>
    <w:pPr/>
    <w:rPr>
      <w:sz w:val="16"/>
    </w:rPr>
  </w:style>
  <w:style w:type="paragraph" w:styleId="311" w:customStyle="1">
    <w:name w:val="АЦ КЦ Нумерация 31"/>
    <w:basedOn w:val="ListParagraph"/>
    <w:link w:val="32"/>
    <w:qFormat/>
    <w:rsid w:val="00d865bd"/>
    <w:pPr>
      <w:tabs>
        <w:tab w:val="clear" w:pos="720"/>
        <w:tab w:val="left" w:pos="2160" w:leader="none"/>
      </w:tabs>
      <w:spacing w:lineRule="auto" w:line="360" w:before="120" w:after="120"/>
      <w:ind w:left="1224" w:hanging="720"/>
      <w:contextualSpacing w:val="false"/>
    </w:pPr>
    <w:rPr>
      <w:rFonts w:ascii="Arial" w:hAnsi="Arial"/>
      <w:sz w:val="24"/>
    </w:rPr>
  </w:style>
  <w:style w:type="paragraph" w:styleId="115" w:customStyle="1">
    <w:name w:val="Гиперссылка1"/>
    <w:basedOn w:val="118"/>
    <w:qFormat/>
    <w:rsid w:val="00d865bd"/>
    <w:pPr/>
    <w:rPr>
      <w:color w:val="0000FF"/>
      <w:u w:val="single"/>
    </w:rPr>
  </w:style>
  <w:style w:type="paragraph" w:styleId="Footnote1" w:customStyle="1">
    <w:name w:val="Footnote1"/>
    <w:basedOn w:val="Normal"/>
    <w:link w:val="Footnote"/>
    <w:qFormat/>
    <w:rsid w:val="00d865bd"/>
    <w:pPr>
      <w:spacing w:lineRule="auto" w:line="240" w:before="0" w:after="0"/>
    </w:pPr>
    <w:rPr>
      <w:rFonts w:ascii="Calibri" w:hAnsi="Calibri"/>
      <w:sz w:val="20"/>
    </w:rPr>
  </w:style>
  <w:style w:type="paragraph" w:styleId="TOC1">
    <w:name w:val="TOC 1"/>
    <w:basedOn w:val="Normal"/>
    <w:next w:val="Normal"/>
    <w:link w:val="15"/>
    <w:uiPriority w:val="39"/>
    <w:rsid w:val="00d865bd"/>
    <w:pPr>
      <w:spacing w:before="0" w:after="100"/>
    </w:pPr>
    <w:rPr/>
  </w:style>
  <w:style w:type="paragraph" w:styleId="Style27" w:customStyle="1">
    <w:name w:val="Колонтитул"/>
    <w:qFormat/>
    <w:rsid w:val="00d865bd"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2"/>
    <w:rsid w:val="00d865b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left"/>
    </w:pPr>
    <w:rPr>
      <w:rFonts w:ascii="Calibri" w:hAnsi="Calibri"/>
      <w:sz w:val="22"/>
    </w:rPr>
  </w:style>
  <w:style w:type="paragraph" w:styleId="Annotationsubject">
    <w:name w:val="annotation subject"/>
    <w:basedOn w:val="Annotationtext"/>
    <w:next w:val="Annotationtext"/>
    <w:link w:val="Style13"/>
    <w:qFormat/>
    <w:rsid w:val="00d865bd"/>
    <w:pPr>
      <w:jc w:val="left"/>
    </w:pPr>
    <w:rPr>
      <w:b/>
    </w:rPr>
  </w:style>
  <w:style w:type="paragraph" w:styleId="116" w:customStyle="1">
    <w:name w:val="РАНХиГС Таблица текст1"/>
    <w:link w:val="Style14"/>
    <w:qFormat/>
    <w:rsid w:val="00d865bd"/>
    <w:pPr>
      <w:widowControl/>
      <w:bidi w:val="0"/>
      <w:spacing w:lineRule="auto" w:line="360" w:before="120" w:after="120"/>
      <w:jc w:val="both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d865bd"/>
    <w:pPr>
      <w:widowControl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d865bd"/>
    <w:pPr>
      <w:widowControl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7" w:customStyle="1">
    <w:name w:val="РАНХиГС Таблица маркер 11"/>
    <w:link w:val="16"/>
    <w:qFormat/>
    <w:rsid w:val="00d865bd"/>
    <w:pPr>
      <w:widowControl/>
      <w:numPr>
        <w:ilvl w:val="0"/>
        <w:numId w:val="21"/>
      </w:numPr>
      <w:bidi w:val="0"/>
      <w:spacing w:lineRule="auto" w:line="360" w:before="120" w:after="120"/>
      <w:jc w:val="left"/>
    </w:pPr>
    <w:rPr>
      <w:rFonts w:ascii="Arial" w:hAnsi="Arial" w:eastAsia="Times New Roman" w:cs="Times New Roman"/>
      <w:color w:val="000000" w:themeColor="text1"/>
      <w:kern w:val="0"/>
      <w:sz w:val="20"/>
      <w:szCs w:val="20"/>
      <w:lang w:val="ru-RU" w:eastAsia="ru-RU" w:bidi="ar-SA"/>
    </w:rPr>
  </w:style>
  <w:style w:type="paragraph" w:styleId="118" w:customStyle="1">
    <w:name w:val="Основной шрифт абзаца1"/>
    <w:qFormat/>
    <w:rsid w:val="00d865bd"/>
    <w:pPr>
      <w:widowControl/>
      <w:bidi w:val="0"/>
      <w:spacing w:lineRule="auto" w:line="264" w:before="0" w:after="16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11" w:customStyle="1">
    <w:name w:val="АЦ КЦ Нумерация 41"/>
    <w:basedOn w:val="ListParagraph"/>
    <w:link w:val="41"/>
    <w:qFormat/>
    <w:rsid w:val="00d865bd"/>
    <w:pPr>
      <w:tabs>
        <w:tab w:val="clear" w:pos="720"/>
        <w:tab w:val="left" w:pos="360" w:leader="none"/>
        <w:tab w:val="left" w:pos="2880" w:leader="none"/>
      </w:tabs>
      <w:spacing w:lineRule="auto" w:line="360" w:before="120" w:after="120"/>
      <w:ind w:left="0" w:hanging="0"/>
      <w:contextualSpacing w:val="false"/>
    </w:pPr>
    <w:rPr>
      <w:rFonts w:ascii="Arial" w:hAnsi="Arial"/>
      <w:sz w:val="24"/>
    </w:rPr>
  </w:style>
  <w:style w:type="paragraph" w:styleId="211" w:customStyle="1">
    <w:name w:val="АЦ КЦ Нумерация 21"/>
    <w:basedOn w:val="ListParagraph"/>
    <w:link w:val="21"/>
    <w:qFormat/>
    <w:rsid w:val="00d865bd"/>
    <w:pPr>
      <w:numPr>
        <w:ilvl w:val="1"/>
        <w:numId w:val="17"/>
      </w:numPr>
      <w:spacing w:lineRule="auto" w:line="360" w:before="120" w:after="120"/>
      <w:contextualSpacing w:val="false"/>
    </w:pPr>
    <w:rPr>
      <w:rFonts w:ascii="Arial" w:hAnsi="Arial"/>
      <w:sz w:val="24"/>
    </w:rPr>
  </w:style>
  <w:style w:type="paragraph" w:styleId="TOC5">
    <w:name w:val="TOC 5"/>
    <w:basedOn w:val="Normal"/>
    <w:next w:val="Normal"/>
    <w:link w:val="51"/>
    <w:uiPriority w:val="39"/>
    <w:rsid w:val="00d865bd"/>
    <w:pPr>
      <w:spacing w:before="0" w:after="100"/>
      <w:ind w:left="880" w:hanging="0"/>
      <w:jc w:val="left"/>
    </w:pPr>
    <w:rPr>
      <w:sz w:val="20"/>
    </w:rPr>
  </w:style>
  <w:style w:type="paragraph" w:styleId="Footer">
    <w:name w:val="Footer"/>
    <w:basedOn w:val="Normal"/>
    <w:link w:val="Style15"/>
    <w:rsid w:val="00d865b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/>
    </w:rPr>
  </w:style>
  <w:style w:type="paragraph" w:styleId="Subtitle">
    <w:name w:val="Subtitle"/>
    <w:basedOn w:val="Normal"/>
    <w:next w:val="Normal"/>
    <w:link w:val="Style16"/>
    <w:uiPriority w:val="11"/>
    <w:qFormat/>
    <w:rsid w:val="00d865bd"/>
    <w:pPr>
      <w:keepNext w:val="true"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119" w:customStyle="1">
    <w:name w:val="Нум.Список1"/>
    <w:basedOn w:val="Normal"/>
    <w:link w:val="Style17"/>
    <w:qFormat/>
    <w:rsid w:val="00d865bd"/>
    <w:pPr>
      <w:numPr>
        <w:ilvl w:val="0"/>
        <w:numId w:val="22"/>
      </w:numPr>
      <w:spacing w:before="0" w:after="160"/>
      <w:contextualSpacing/>
    </w:pPr>
    <w:rPr/>
  </w:style>
  <w:style w:type="paragraph" w:styleId="Title">
    <w:name w:val="Title"/>
    <w:basedOn w:val="Normal"/>
    <w:next w:val="Normal"/>
    <w:link w:val="Style18"/>
    <w:uiPriority w:val="10"/>
    <w:qFormat/>
    <w:rsid w:val="00d865bd"/>
    <w:pPr>
      <w:keepNext w:val="true"/>
      <w:keepLines/>
      <w:spacing w:before="480" w:after="120"/>
    </w:pPr>
    <w:rPr>
      <w:b/>
      <w:sz w:val="72"/>
    </w:rPr>
  </w:style>
  <w:style w:type="paragraph" w:styleId="120" w:customStyle="1">
    <w:name w:val="РАНХиГС Название таблицы1"/>
    <w:next w:val="Normal"/>
    <w:link w:val="Style19"/>
    <w:qFormat/>
    <w:rsid w:val="00d865bd"/>
    <w:pPr>
      <w:widowControl/>
      <w:tabs>
        <w:tab w:val="left" w:pos="720" w:leader="none"/>
        <w:tab w:val="left" w:pos="1276" w:leader="none"/>
      </w:tabs>
      <w:bidi w:val="0"/>
      <w:spacing w:lineRule="auto" w:line="360" w:before="120" w:after="120"/>
      <w:ind w:left="720" w:hanging="720"/>
      <w:jc w:val="both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" w:customStyle="1">
    <w:name w:val="Абз.Стандарта1"/>
    <w:basedOn w:val="ListParagraph"/>
    <w:link w:val="Style20"/>
    <w:qFormat/>
    <w:rsid w:val="00d865bd"/>
    <w:pPr>
      <w:numPr>
        <w:ilvl w:val="0"/>
        <w:numId w:val="23"/>
      </w:numPr>
      <w:tabs>
        <w:tab w:val="clear" w:pos="720"/>
        <w:tab w:val="left" w:pos="851" w:leader="none"/>
      </w:tabs>
      <w:spacing w:before="0" w:after="120"/>
      <w:contextualSpacing w:val="false"/>
    </w:pPr>
    <w:rPr>
      <w:rFonts w:ascii="Times New Roman" w:hAnsi="Times New Roman"/>
    </w:rPr>
  </w:style>
  <w:style w:type="paragraph" w:styleId="FootnoteText">
    <w:name w:val="Footnote Text"/>
    <w:basedOn w:val="Normal"/>
    <w:link w:val="Style21"/>
    <w:uiPriority w:val="99"/>
    <w:semiHidden/>
    <w:unhideWhenUsed/>
    <w:rsid w:val="00624aa7"/>
    <w:pPr>
      <w:spacing w:lineRule="auto" w:line="240" w:before="0" w:after="0"/>
    </w:pPr>
    <w:rPr>
      <w:sz w:val="20"/>
    </w:rPr>
  </w:style>
  <w:style w:type="paragraph" w:styleId="ConsPlusNormal" w:customStyle="1">
    <w:name w:val="ConsPlusNormal"/>
    <w:qFormat/>
    <w:rsid w:val="0059421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865b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4"/>
    <w:rsid w:val="00d865bd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notes" Target="footnotes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mintrud.gov.ru/uploads/editor/07/ef/&#1052;&#1077;&#1090;&#1086;&#1076;&#1080;&#1095;&#1077;&#1089;&#1082;&#1080;&#1077; &#1088;&#1077;&#1082;&#1086;&#1084;&#1077;&#1085;&#1076;&#1072;&#1094;&#1080;&#1080;.docx" TargetMode="External"/><Relationship Id="rId2" Type="http://schemas.openxmlformats.org/officeDocument/2006/relationships/hyperlink" Target="file:///C:/Users/v.buryaga/Desktop/&#1052;&#1077;&#1090;&#1086;&#1076;&#1080;&#1082;&#1091;%20&#1092;&#1086;&#1088;&#1084;&#1080;&#1088;&#1086;&#1074;&#1072;&#1085;&#1080;&#1103;%20&#1080;%20&#1088;&#1072;&#1079;&#1074;&#1080;&#1090;&#1080;&#1103;%20&#1087;&#1088;&#1086;&#1092;&#1077;&#1089;&#1089;&#1080;&#1086;&#1085;&#1072;&#1083;&#1100;&#1085;&#1086;&#1081;%20&#1082;&#1091;&#1083;&#1100;&#1090;&#1091;&#1088;&#1099;%20&#1075;&#1086;&#1089;&#1091;&#1076;&#1072;&#1088;&#1089;&#1090;&#1074;&#1077;&#1085;&#1085;&#1086;&#1075;&#1086;%20&#1086;&#1088;&#1075;&#1072;&#1085;&#1072;" TargetMode="External"/><Relationship Id="rId3" Type="http://schemas.openxmlformats.org/officeDocument/2006/relationships/hyperlink" Target="https://mintrud.gov.ru/ministry/programms/gossluzhba/16/15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1DE-AC40-4362-A36C-AC38109B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AlterOffice/3.3.0.4$Windows_X86_64 LibreOffice_project/</Application>
  <AppVersion>15.0000</AppVersion>
  <Pages>37</Pages>
  <Words>7864</Words>
  <Characters>57334</Characters>
  <CharactersWithSpaces>64184</CharactersWithSpaces>
  <Paragraphs>714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2022-07-05T08:40:00Z</dcterms:created>
  <dc:creator>Слепнева Анна Вячеславовна</dc:creator>
  <dc:description/>
  <dc:language>ru-RU</dc:language>
  <cp:lastModifiedBy>Игорь Вячеславович Дмитриев</cp:lastModifiedBy>
  <cp:lastPrinted>2022-06-07T06:32:00Z</cp:lastPrinted>
  <dcterms:modified xsi:type="dcterms:W3CDTF">2024-05-17T12:10:06Z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