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67208C" w:rsidRPr="0067208C" w:rsidTr="0067208C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67208C" w:rsidRPr="0067208C" w:rsidRDefault="00C7373F" w:rsidP="004F2A7D">
            <w:pPr>
              <w:tabs>
                <w:tab w:val="left" w:pos="83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A51402A" wp14:editId="5A176A3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A8Rq3PMgIAAGIEAAAOAAAAAAAAAAAAAAAA&#10;AC4CAABkcnMvZTJvRG9jLnhtbFBLAQItABQABgAIAAAAIQAIyalP4AAAAAsBAAAPAAAAAAAAAAAA&#10;AAAAAIwEAABkcnMvZG93bnJldi54bWxQSwUGAAAAAAQABADzAAAAmQUAAAAA&#10;" strokecolor="#254061" strokeweight="2.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51B8F6" wp14:editId="0D318312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5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67208C" w:rsidRPr="0067208C" w:rsidRDefault="0067208C" w:rsidP="0067208C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67208C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67208C" w:rsidRPr="0067208C" w:rsidTr="0067208C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67208C" w:rsidRPr="0067208C" w:rsidRDefault="0067208C" w:rsidP="0067208C">
            <w:pPr>
              <w:pStyle w:val="4"/>
              <w:spacing w:before="120" w:after="120"/>
              <w:rPr>
                <w:b w:val="0"/>
                <w:color w:val="244061"/>
                <w:sz w:val="32"/>
                <w:szCs w:val="32"/>
              </w:rPr>
            </w:pPr>
            <w:r w:rsidRPr="0067208C">
              <w:rPr>
                <w:color w:val="244061"/>
                <w:sz w:val="50"/>
                <w:szCs w:val="50"/>
              </w:rPr>
              <w:t>ПРИКАЗ</w:t>
            </w:r>
          </w:p>
        </w:tc>
      </w:tr>
      <w:tr w:rsidR="0067208C" w:rsidRPr="0067208C" w:rsidTr="00672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7208C" w:rsidRPr="00564E7A" w:rsidRDefault="0067208C" w:rsidP="0067208C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208C" w:rsidRPr="0067208C" w:rsidRDefault="0067208C" w:rsidP="0067208C">
            <w:pPr>
              <w:spacing w:before="20" w:after="20"/>
              <w:jc w:val="center"/>
              <w:rPr>
                <w:color w:val="244061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7208C" w:rsidRPr="0066428D" w:rsidRDefault="000E64EF" w:rsidP="002F2C96">
            <w:pPr>
              <w:spacing w:before="20" w:after="20"/>
              <w:rPr>
                <w:color w:val="244061"/>
                <w:sz w:val="28"/>
                <w:szCs w:val="28"/>
              </w:rPr>
            </w:pPr>
            <w:r w:rsidRPr="0066428D">
              <w:rPr>
                <w:color w:val="244061"/>
                <w:sz w:val="28"/>
                <w:szCs w:val="28"/>
              </w:rPr>
              <w:t>№</w:t>
            </w:r>
            <w:r w:rsidR="00564E7A">
              <w:rPr>
                <w:color w:val="244061"/>
                <w:sz w:val="28"/>
                <w:szCs w:val="28"/>
              </w:rPr>
              <w:t xml:space="preserve">  </w:t>
            </w:r>
          </w:p>
        </w:tc>
      </w:tr>
      <w:tr w:rsidR="0067208C" w:rsidRPr="00A1183E" w:rsidTr="006720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208C" w:rsidRPr="00A1183E" w:rsidRDefault="0067208C" w:rsidP="0067208C">
            <w:pPr>
              <w:spacing w:before="100" w:after="100"/>
              <w:jc w:val="center"/>
              <w:rPr>
                <w:color w:val="244061"/>
                <w:sz w:val="28"/>
                <w:szCs w:val="28"/>
              </w:rPr>
            </w:pPr>
            <w:r w:rsidRPr="00A1183E">
              <w:rPr>
                <w:color w:val="244061"/>
                <w:sz w:val="28"/>
                <w:szCs w:val="28"/>
              </w:rPr>
              <w:t>г. Брянск</w:t>
            </w:r>
          </w:p>
        </w:tc>
      </w:tr>
    </w:tbl>
    <w:p w:rsidR="00380260" w:rsidRDefault="00380260" w:rsidP="00380260">
      <w:pPr>
        <w:pStyle w:val="2"/>
        <w:ind w:right="4677"/>
        <w:jc w:val="both"/>
        <w:rPr>
          <w:sz w:val="28"/>
          <w:szCs w:val="28"/>
        </w:rPr>
      </w:pPr>
    </w:p>
    <w:p w:rsidR="00B663DB" w:rsidRPr="00B663DB" w:rsidRDefault="003C3B8A" w:rsidP="00A04636">
      <w:pPr>
        <w:pStyle w:val="a7"/>
        <w:tabs>
          <w:tab w:val="left" w:pos="5103"/>
        </w:tabs>
        <w:ind w:right="538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ведения реестра </w:t>
      </w:r>
      <w:r w:rsidRPr="003C3B8A">
        <w:rPr>
          <w:sz w:val="28"/>
          <w:szCs w:val="28"/>
        </w:rPr>
        <w:t xml:space="preserve"> межведомственных</w:t>
      </w:r>
      <w:r w:rsidR="008C17FC">
        <w:rPr>
          <w:sz w:val="28"/>
          <w:szCs w:val="28"/>
        </w:rPr>
        <w:t xml:space="preserve"> </w:t>
      </w:r>
      <w:r w:rsidRPr="003C3B8A">
        <w:rPr>
          <w:sz w:val="28"/>
          <w:szCs w:val="28"/>
        </w:rPr>
        <w:t xml:space="preserve">и внутриведомственных процессов </w:t>
      </w:r>
      <w:r w:rsidR="001C0C7B" w:rsidRPr="00B663DB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="001C0C7B" w:rsidRPr="00B663DB">
        <w:rPr>
          <w:sz w:val="28"/>
          <w:szCs w:val="28"/>
        </w:rPr>
        <w:t xml:space="preserve"> финансов</w:t>
      </w:r>
      <w:r w:rsidR="00B663DB" w:rsidRPr="00B663DB">
        <w:rPr>
          <w:sz w:val="28"/>
          <w:szCs w:val="28"/>
        </w:rPr>
        <w:t xml:space="preserve"> Бр</w:t>
      </w:r>
      <w:bookmarkStart w:id="0" w:name="_GoBack"/>
      <w:bookmarkEnd w:id="0"/>
      <w:r w:rsidR="00B663DB" w:rsidRPr="00B663DB">
        <w:rPr>
          <w:sz w:val="28"/>
          <w:szCs w:val="28"/>
        </w:rPr>
        <w:t>янской области</w:t>
      </w:r>
    </w:p>
    <w:p w:rsidR="001C0C7B" w:rsidRDefault="001C0C7B" w:rsidP="00923103">
      <w:pPr>
        <w:rPr>
          <w:sz w:val="28"/>
        </w:rPr>
      </w:pPr>
    </w:p>
    <w:p w:rsidR="001C0C7B" w:rsidRDefault="001C0C7B" w:rsidP="00923103">
      <w:pPr>
        <w:rPr>
          <w:sz w:val="28"/>
        </w:rPr>
      </w:pPr>
    </w:p>
    <w:p w:rsidR="003C3B8A" w:rsidRDefault="003C3B8A" w:rsidP="008C17FC">
      <w:pPr>
        <w:ind w:firstLine="709"/>
        <w:jc w:val="both"/>
        <w:rPr>
          <w:sz w:val="28"/>
        </w:rPr>
      </w:pPr>
      <w:r w:rsidRPr="003C3B8A">
        <w:rPr>
          <w:sz w:val="28"/>
        </w:rPr>
        <w:t>С целью реализации Плана мероприятий («дорожной карты») по внедрению Стандартов клиентоцентричности в департаменте финансов Брянской области, утвержденного приказом департамента финансов Брянской области от 21</w:t>
      </w:r>
      <w:r w:rsidR="00DF1120">
        <w:rPr>
          <w:sz w:val="28"/>
        </w:rPr>
        <w:t xml:space="preserve"> ноября </w:t>
      </w:r>
      <w:r w:rsidRPr="003C3B8A">
        <w:rPr>
          <w:sz w:val="28"/>
        </w:rPr>
        <w:t>2023</w:t>
      </w:r>
      <w:r w:rsidR="00DF1120">
        <w:rPr>
          <w:sz w:val="28"/>
        </w:rPr>
        <w:t xml:space="preserve"> года</w:t>
      </w:r>
      <w:r w:rsidRPr="003C3B8A">
        <w:rPr>
          <w:sz w:val="28"/>
        </w:rPr>
        <w:t xml:space="preserve"> №149 «Об организации работы по внедрению Стандартов клиентоцентричности в департаменте финансов Брянской области»</w:t>
      </w:r>
    </w:p>
    <w:p w:rsidR="007C3F09" w:rsidRDefault="00923103" w:rsidP="008C17FC">
      <w:pPr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</w:t>
      </w:r>
    </w:p>
    <w:p w:rsidR="00923103" w:rsidRDefault="00923103" w:rsidP="008C17FC">
      <w:pPr>
        <w:ind w:firstLine="709"/>
        <w:jc w:val="center"/>
        <w:rPr>
          <w:sz w:val="28"/>
        </w:rPr>
      </w:pPr>
      <w:r>
        <w:rPr>
          <w:sz w:val="28"/>
        </w:rPr>
        <w:t>ПРИКАЗЫВАЮ:</w:t>
      </w:r>
    </w:p>
    <w:p w:rsidR="00923103" w:rsidRDefault="00923103" w:rsidP="008C17FC">
      <w:pPr>
        <w:ind w:firstLine="709"/>
        <w:jc w:val="both"/>
        <w:rPr>
          <w:sz w:val="28"/>
        </w:rPr>
      </w:pPr>
    </w:p>
    <w:p w:rsidR="003C3B8A" w:rsidRPr="003C3B8A" w:rsidRDefault="003C3B8A" w:rsidP="008C17FC">
      <w:pPr>
        <w:numPr>
          <w:ilvl w:val="0"/>
          <w:numId w:val="11"/>
        </w:numPr>
        <w:ind w:left="0" w:firstLine="709"/>
        <w:jc w:val="both"/>
        <w:rPr>
          <w:sz w:val="28"/>
        </w:rPr>
      </w:pPr>
      <w:r w:rsidRPr="003C3B8A">
        <w:rPr>
          <w:sz w:val="28"/>
        </w:rPr>
        <w:t>Утвердить</w:t>
      </w:r>
      <w:r>
        <w:rPr>
          <w:sz w:val="28"/>
        </w:rPr>
        <w:t xml:space="preserve"> </w:t>
      </w:r>
      <w:r w:rsidR="00853C0A">
        <w:rPr>
          <w:sz w:val="28"/>
        </w:rPr>
        <w:t xml:space="preserve">прилагаемый </w:t>
      </w:r>
      <w:r w:rsidRPr="003C3B8A">
        <w:rPr>
          <w:sz w:val="28"/>
        </w:rPr>
        <w:t>Порядок ведения реестра межведомственных и внутриведомственных процессов департамента финансов Брянской области</w:t>
      </w:r>
      <w:r>
        <w:rPr>
          <w:sz w:val="28"/>
        </w:rPr>
        <w:t xml:space="preserve"> (далее –</w:t>
      </w:r>
      <w:r w:rsidR="00AC79A1">
        <w:rPr>
          <w:sz w:val="28"/>
        </w:rPr>
        <w:t xml:space="preserve"> Р</w:t>
      </w:r>
      <w:r>
        <w:rPr>
          <w:sz w:val="28"/>
        </w:rPr>
        <w:t>еестр).</w:t>
      </w:r>
    </w:p>
    <w:p w:rsidR="003C3B8A" w:rsidRPr="003C3B8A" w:rsidRDefault="00393923" w:rsidP="008C17FC">
      <w:pPr>
        <w:pStyle w:val="a8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</w:rPr>
        <w:t>Ответственному</w:t>
      </w:r>
      <w:proofErr w:type="gramEnd"/>
      <w:r>
        <w:rPr>
          <w:sz w:val="28"/>
        </w:rPr>
        <w:t xml:space="preserve"> за внедрение клиентоцентричности в департаменте, з</w:t>
      </w:r>
      <w:r w:rsidR="003C3B8A" w:rsidRPr="003C3B8A">
        <w:rPr>
          <w:sz w:val="28"/>
        </w:rPr>
        <w:t xml:space="preserve">аместителям директора департамента, начальникам отделов департамента обеспечить </w:t>
      </w:r>
      <w:r w:rsidR="00AC79A1">
        <w:rPr>
          <w:sz w:val="28"/>
        </w:rPr>
        <w:t>формирование Р</w:t>
      </w:r>
      <w:r w:rsidR="003C3B8A">
        <w:rPr>
          <w:sz w:val="28"/>
        </w:rPr>
        <w:t>еестра</w:t>
      </w:r>
      <w:r w:rsidR="003C3B8A" w:rsidRPr="003C3B8A">
        <w:rPr>
          <w:sz w:val="28"/>
        </w:rPr>
        <w:t xml:space="preserve">. </w:t>
      </w:r>
    </w:p>
    <w:p w:rsidR="003C3B8A" w:rsidRPr="00393923" w:rsidRDefault="006678E3" w:rsidP="00393923">
      <w:pPr>
        <w:pStyle w:val="a8"/>
        <w:numPr>
          <w:ilvl w:val="0"/>
          <w:numId w:val="11"/>
        </w:numPr>
        <w:ind w:left="0" w:firstLine="709"/>
        <w:jc w:val="both"/>
        <w:rPr>
          <w:sz w:val="28"/>
        </w:rPr>
      </w:pPr>
      <w:r w:rsidRPr="00393923">
        <w:rPr>
          <w:sz w:val="28"/>
        </w:rPr>
        <w:t>Настоящий приказ вступает в силу со дня его подписания.</w:t>
      </w:r>
      <w:r w:rsidR="003C3B8A" w:rsidRPr="00393923">
        <w:rPr>
          <w:sz w:val="28"/>
        </w:rPr>
        <w:t xml:space="preserve"> </w:t>
      </w:r>
    </w:p>
    <w:p w:rsidR="006678E3" w:rsidRPr="00393923" w:rsidRDefault="006678E3" w:rsidP="00393923">
      <w:pPr>
        <w:pStyle w:val="a8"/>
        <w:numPr>
          <w:ilvl w:val="0"/>
          <w:numId w:val="11"/>
        </w:numPr>
        <w:ind w:left="0" w:firstLine="709"/>
        <w:jc w:val="both"/>
        <w:rPr>
          <w:sz w:val="28"/>
        </w:rPr>
      </w:pPr>
      <w:proofErr w:type="gramStart"/>
      <w:r w:rsidRPr="00393923">
        <w:rPr>
          <w:sz w:val="28"/>
        </w:rPr>
        <w:t>Контроль за</w:t>
      </w:r>
      <w:proofErr w:type="gramEnd"/>
      <w:r w:rsidRPr="00393923">
        <w:rPr>
          <w:sz w:val="28"/>
        </w:rPr>
        <w:t xml:space="preserve"> исполнением приказа оставляю за собой.</w:t>
      </w:r>
    </w:p>
    <w:p w:rsidR="00512E79" w:rsidRDefault="00512E79" w:rsidP="00FC4A33">
      <w:pPr>
        <w:ind w:firstLine="851"/>
        <w:jc w:val="both"/>
        <w:rPr>
          <w:sz w:val="28"/>
          <w:szCs w:val="28"/>
        </w:rPr>
      </w:pPr>
    </w:p>
    <w:p w:rsidR="00AE1E94" w:rsidRDefault="00AE018F" w:rsidP="00EF0BC5">
      <w:pPr>
        <w:tabs>
          <w:tab w:val="left" w:pos="0"/>
        </w:tabs>
        <w:rPr>
          <w:sz w:val="28"/>
        </w:rPr>
      </w:pPr>
      <w:r>
        <w:rPr>
          <w:sz w:val="28"/>
        </w:rPr>
        <w:t>З</w:t>
      </w:r>
      <w:r w:rsidR="000F0B63">
        <w:rPr>
          <w:sz w:val="28"/>
        </w:rPr>
        <w:t>аместител</w:t>
      </w:r>
      <w:r>
        <w:rPr>
          <w:sz w:val="28"/>
        </w:rPr>
        <w:t>ь</w:t>
      </w:r>
      <w:r w:rsidR="000F0B63">
        <w:rPr>
          <w:sz w:val="28"/>
        </w:rPr>
        <w:t xml:space="preserve"> Губернатора</w:t>
      </w:r>
      <w:r w:rsidR="00EF0BC5" w:rsidRPr="00EF0BC5">
        <w:rPr>
          <w:sz w:val="28"/>
        </w:rPr>
        <w:t xml:space="preserve"> </w:t>
      </w:r>
      <w:r w:rsidR="00EF0BC5">
        <w:rPr>
          <w:sz w:val="28"/>
        </w:rPr>
        <w:t xml:space="preserve">                                                                        Г.В. Петушкова</w:t>
      </w:r>
    </w:p>
    <w:p w:rsidR="00B77B4E" w:rsidRDefault="00295E89" w:rsidP="00EF0BC5">
      <w:pPr>
        <w:tabs>
          <w:tab w:val="left" w:pos="0"/>
        </w:tabs>
        <w:rPr>
          <w:sz w:val="28"/>
        </w:rPr>
      </w:pPr>
      <w:r>
        <w:rPr>
          <w:sz w:val="28"/>
        </w:rPr>
        <w:t xml:space="preserve">Брянской </w:t>
      </w:r>
      <w:r w:rsidR="000E4DB1">
        <w:rPr>
          <w:sz w:val="28"/>
        </w:rPr>
        <w:t>области</w:t>
      </w:r>
      <w:r w:rsidR="00405907">
        <w:rPr>
          <w:sz w:val="28"/>
        </w:rPr>
        <w:t xml:space="preserve">                                   </w:t>
      </w:r>
      <w:r w:rsidR="00992E5D">
        <w:rPr>
          <w:sz w:val="28"/>
        </w:rPr>
        <w:t xml:space="preserve"> </w:t>
      </w:r>
      <w:r w:rsidR="00AE1E94">
        <w:rPr>
          <w:sz w:val="28"/>
        </w:rPr>
        <w:t xml:space="preserve">                                        </w:t>
      </w:r>
    </w:p>
    <w:p w:rsidR="000907F9" w:rsidRDefault="000907F9" w:rsidP="00742E6F">
      <w:pPr>
        <w:tabs>
          <w:tab w:val="left" w:pos="3969"/>
        </w:tabs>
        <w:ind w:left="284"/>
        <w:rPr>
          <w:sz w:val="28"/>
        </w:rPr>
      </w:pPr>
      <w:r>
        <w:rPr>
          <w:sz w:val="28"/>
        </w:rPr>
        <w:t xml:space="preserve">     </w:t>
      </w:r>
      <w:r w:rsidR="00C749AA">
        <w:rPr>
          <w:sz w:val="28"/>
        </w:rPr>
        <w:t xml:space="preserve"> </w:t>
      </w:r>
    </w:p>
    <w:p w:rsidR="00FC4A33" w:rsidRDefault="00FC4A33" w:rsidP="00AF21F1">
      <w:pPr>
        <w:ind w:left="284"/>
        <w:rPr>
          <w:sz w:val="28"/>
        </w:rPr>
      </w:pPr>
    </w:p>
    <w:p w:rsidR="00BB62A6" w:rsidRDefault="00BB62A6" w:rsidP="00AF21F1">
      <w:pPr>
        <w:ind w:left="284"/>
        <w:rPr>
          <w:sz w:val="28"/>
        </w:rPr>
      </w:pPr>
    </w:p>
    <w:p w:rsidR="00BB62A6" w:rsidRDefault="00BB62A6" w:rsidP="00AF21F1">
      <w:pPr>
        <w:ind w:left="284"/>
        <w:rPr>
          <w:sz w:val="28"/>
        </w:rPr>
      </w:pPr>
    </w:p>
    <w:p w:rsidR="00BB62A6" w:rsidRDefault="00BB62A6" w:rsidP="00AF21F1">
      <w:pPr>
        <w:ind w:left="284"/>
        <w:rPr>
          <w:sz w:val="28"/>
        </w:rPr>
      </w:pPr>
    </w:p>
    <w:p w:rsidR="00181EC5" w:rsidRDefault="000907F9" w:rsidP="006C3604">
      <w:pPr>
        <w:rPr>
          <w:sz w:val="28"/>
        </w:rPr>
      </w:pPr>
      <w:r>
        <w:rPr>
          <w:sz w:val="28"/>
        </w:rPr>
        <w:lastRenderedPageBreak/>
        <w:t>Со</w:t>
      </w:r>
      <w:r w:rsidR="00744722">
        <w:rPr>
          <w:sz w:val="28"/>
        </w:rPr>
        <w:t>гласовано:</w:t>
      </w:r>
      <w:r w:rsidR="00C749AA">
        <w:rPr>
          <w:sz w:val="28"/>
        </w:rPr>
        <w:t xml:space="preserve"> </w:t>
      </w:r>
      <w:r w:rsidR="000E4DB1">
        <w:rPr>
          <w:sz w:val="28"/>
        </w:rPr>
        <w:t xml:space="preserve"> </w:t>
      </w:r>
    </w:p>
    <w:p w:rsidR="00393923" w:rsidRDefault="00393923" w:rsidP="006C3604">
      <w:pPr>
        <w:rPr>
          <w:sz w:val="28"/>
        </w:rPr>
      </w:pPr>
    </w:p>
    <w:p w:rsidR="00C749AA" w:rsidRDefault="00393923" w:rsidP="006C3604">
      <w:pPr>
        <w:rPr>
          <w:sz w:val="28"/>
        </w:rPr>
      </w:pPr>
      <w:r>
        <w:rPr>
          <w:sz w:val="28"/>
        </w:rPr>
        <w:t xml:space="preserve">Начальник правового отдела </w:t>
      </w:r>
      <w:r w:rsidR="00C749AA">
        <w:rPr>
          <w:sz w:val="28"/>
        </w:rPr>
        <w:t xml:space="preserve"> </w:t>
      </w:r>
      <w:r>
        <w:rPr>
          <w:sz w:val="28"/>
        </w:rPr>
        <w:t xml:space="preserve">                           </w:t>
      </w:r>
      <w:r w:rsidR="006C3604">
        <w:rPr>
          <w:sz w:val="28"/>
        </w:rPr>
        <w:t xml:space="preserve">            </w:t>
      </w:r>
      <w:r w:rsidR="00690617">
        <w:rPr>
          <w:sz w:val="28"/>
        </w:rPr>
        <w:t xml:space="preserve">Д.В. </w:t>
      </w:r>
      <w:r w:rsidR="009B1D8E">
        <w:rPr>
          <w:sz w:val="28"/>
        </w:rPr>
        <w:t xml:space="preserve">Галушко </w:t>
      </w:r>
    </w:p>
    <w:p w:rsidR="00393923" w:rsidRDefault="00393923" w:rsidP="006C3604">
      <w:pPr>
        <w:rPr>
          <w:sz w:val="28"/>
        </w:rPr>
      </w:pPr>
    </w:p>
    <w:p w:rsidR="00393923" w:rsidRDefault="00393923" w:rsidP="006C3604">
      <w:pPr>
        <w:rPr>
          <w:sz w:val="28"/>
        </w:rPr>
      </w:pPr>
      <w:r>
        <w:rPr>
          <w:sz w:val="28"/>
        </w:rPr>
        <w:t xml:space="preserve">Начальник административного отдела             </w:t>
      </w:r>
      <w:r w:rsidR="006C3604">
        <w:rPr>
          <w:sz w:val="28"/>
        </w:rPr>
        <w:t xml:space="preserve">            </w:t>
      </w:r>
      <w:r>
        <w:rPr>
          <w:sz w:val="28"/>
        </w:rPr>
        <w:t>И.А. Долбенкина</w:t>
      </w:r>
    </w:p>
    <w:p w:rsidR="00D82401" w:rsidRDefault="00D82401" w:rsidP="006C3604">
      <w:pPr>
        <w:rPr>
          <w:sz w:val="28"/>
        </w:rPr>
      </w:pPr>
    </w:p>
    <w:p w:rsidR="00463F83" w:rsidRDefault="005B0589" w:rsidP="006C3604">
      <w:pPr>
        <w:rPr>
          <w:sz w:val="28"/>
        </w:rPr>
      </w:pPr>
      <w:r>
        <w:rPr>
          <w:sz w:val="28"/>
        </w:rPr>
        <w:t xml:space="preserve">Исп. </w:t>
      </w:r>
      <w:r w:rsidR="00853C0A">
        <w:rPr>
          <w:sz w:val="28"/>
        </w:rPr>
        <w:t>Бабась А.А.</w:t>
      </w:r>
    </w:p>
    <w:p w:rsidR="00393923" w:rsidRDefault="00393923" w:rsidP="006C3604">
      <w:pPr>
        <w:rPr>
          <w:sz w:val="28"/>
        </w:rPr>
      </w:pPr>
      <w:r>
        <w:rPr>
          <w:sz w:val="28"/>
        </w:rPr>
        <w:t>74-24-40</w:t>
      </w:r>
    </w:p>
    <w:p w:rsidR="00463F83" w:rsidRDefault="00463F83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6C3604" w:rsidRDefault="006C3604" w:rsidP="00393923">
      <w:pPr>
        <w:ind w:firstLine="709"/>
        <w:rPr>
          <w:sz w:val="28"/>
        </w:rPr>
      </w:pPr>
    </w:p>
    <w:p w:rsidR="005B0589" w:rsidRDefault="00463F83" w:rsidP="00393923">
      <w:pPr>
        <w:ind w:firstLine="709"/>
        <w:rPr>
          <w:sz w:val="28"/>
        </w:rPr>
      </w:pPr>
      <w:r>
        <w:rPr>
          <w:sz w:val="28"/>
        </w:rPr>
        <w:t xml:space="preserve">С приказом </w:t>
      </w:r>
      <w:proofErr w:type="gramStart"/>
      <w:r>
        <w:rPr>
          <w:sz w:val="28"/>
        </w:rPr>
        <w:t>ознакомлен</w:t>
      </w:r>
      <w:r w:rsidR="006678E3">
        <w:rPr>
          <w:sz w:val="28"/>
        </w:rPr>
        <w:t>ы</w:t>
      </w:r>
      <w:proofErr w:type="gramEnd"/>
      <w:r>
        <w:rPr>
          <w:sz w:val="28"/>
        </w:rPr>
        <w:t>:</w:t>
      </w:r>
    </w:p>
    <w:p w:rsidR="00853C0A" w:rsidRDefault="00853C0A" w:rsidP="00393923">
      <w:pPr>
        <w:ind w:firstLine="709"/>
        <w:contextualSpacing/>
        <w:rPr>
          <w:sz w:val="28"/>
        </w:rPr>
      </w:pP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69"/>
      </w:tblGrid>
      <w:tr w:rsidR="00393923" w:rsidRPr="00393923" w:rsidTr="00393923">
        <w:tc>
          <w:tcPr>
            <w:tcW w:w="5211" w:type="dxa"/>
          </w:tcPr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Бабась А.А.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Аксененко А.В.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Смоловская Л.Е.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Якушкина Т.А.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Долбенкина И.А.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 xml:space="preserve">Луценко А.С. 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Цыганков В.В.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Кулешов М.Г.</w:t>
            </w: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Прудников С.П.</w:t>
            </w:r>
          </w:p>
          <w:p w:rsidR="00393923" w:rsidRPr="00393923" w:rsidRDefault="00393923" w:rsidP="00393923">
            <w:pPr>
              <w:ind w:firstLine="709"/>
              <w:contextualSpacing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Волкова Е.В.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Милехина Н.В.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Галушко Д.В.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Усанович Е.В.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Никольская А.М.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Боровикова Е.М.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Гукалина Е.В.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Путренок Д.Н.</w:t>
            </w: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</w:p>
          <w:p w:rsidR="00393923" w:rsidRPr="00393923" w:rsidRDefault="00393923" w:rsidP="00393923">
            <w:pPr>
              <w:ind w:firstLine="33"/>
              <w:contextualSpacing/>
              <w:rPr>
                <w:sz w:val="28"/>
                <w:szCs w:val="28"/>
              </w:rPr>
            </w:pPr>
            <w:r w:rsidRPr="00393923">
              <w:rPr>
                <w:sz w:val="28"/>
                <w:szCs w:val="28"/>
              </w:rPr>
              <w:t>Доронина А.В.</w:t>
            </w:r>
          </w:p>
        </w:tc>
      </w:tr>
    </w:tbl>
    <w:p w:rsidR="00853C0A" w:rsidRDefault="00853C0A" w:rsidP="00853C0A">
      <w:pPr>
        <w:ind w:left="284"/>
        <w:contextualSpacing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3C0A" w:rsidRDefault="00853C0A" w:rsidP="00853C0A">
      <w:pPr>
        <w:widowControl w:val="0"/>
        <w:autoSpaceDE w:val="0"/>
        <w:autoSpaceDN w:val="0"/>
        <w:adjustRightInd w:val="0"/>
        <w:ind w:left="6237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Утверждено </w:t>
      </w:r>
    </w:p>
    <w:p w:rsidR="00706A45" w:rsidRDefault="00853C0A" w:rsidP="00853C0A">
      <w:pPr>
        <w:widowControl w:val="0"/>
        <w:autoSpaceDE w:val="0"/>
        <w:autoSpaceDN w:val="0"/>
        <w:adjustRightInd w:val="0"/>
        <w:ind w:left="6237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приказом департамента финансов Брянской области 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ind w:left="6237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от </w:t>
      </w:r>
      <w:r w:rsidR="00706A45">
        <w:rPr>
          <w:rFonts w:eastAsiaTheme="minorEastAsia"/>
          <w:sz w:val="28"/>
          <w:szCs w:val="28"/>
        </w:rPr>
        <w:t xml:space="preserve">                            </w:t>
      </w:r>
      <w:r>
        <w:rPr>
          <w:rFonts w:eastAsiaTheme="minorEastAsia"/>
          <w:sz w:val="28"/>
          <w:szCs w:val="28"/>
        </w:rPr>
        <w:t xml:space="preserve">№ 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sz w:val="28"/>
          <w:szCs w:val="28"/>
        </w:rPr>
      </w:pPr>
      <w:r w:rsidRPr="00853C0A">
        <w:rPr>
          <w:rFonts w:eastAsiaTheme="minorEastAsia"/>
          <w:b/>
          <w:sz w:val="28"/>
          <w:szCs w:val="28"/>
        </w:rPr>
        <w:t>Порядок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b/>
          <w:sz w:val="28"/>
          <w:szCs w:val="28"/>
        </w:rPr>
      </w:pPr>
      <w:r w:rsidRPr="00853C0A">
        <w:rPr>
          <w:rFonts w:eastAsiaTheme="minorEastAsia"/>
          <w:b/>
          <w:sz w:val="28"/>
          <w:szCs w:val="28"/>
        </w:rPr>
        <w:t>ведения реестра межведомственных и внутриведомственных процессов департамента финансов Брянской области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Theme="minorEastAsia"/>
          <w:b/>
          <w:bCs/>
          <w:sz w:val="28"/>
          <w:szCs w:val="28"/>
        </w:rPr>
      </w:pPr>
      <w:r w:rsidRPr="00853C0A">
        <w:rPr>
          <w:rFonts w:eastAsiaTheme="minorEastAsia"/>
          <w:b/>
          <w:bCs/>
          <w:sz w:val="28"/>
          <w:szCs w:val="28"/>
        </w:rPr>
        <w:t>I. Общие положения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</w:p>
    <w:p w:rsidR="00853C0A" w:rsidRPr="00853C0A" w:rsidRDefault="00853C0A" w:rsidP="00853C0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Внедрение принципов и стандартов клиентоцентричности в </w:t>
      </w:r>
      <w:r>
        <w:rPr>
          <w:rFonts w:eastAsiaTheme="minorEastAsia"/>
          <w:sz w:val="28"/>
          <w:szCs w:val="28"/>
        </w:rPr>
        <w:t xml:space="preserve">департаменте финансов Брянской области (далее – департамент) </w:t>
      </w:r>
      <w:r w:rsidRPr="00853C0A">
        <w:rPr>
          <w:rFonts w:eastAsiaTheme="minorEastAsia"/>
          <w:sz w:val="28"/>
          <w:szCs w:val="28"/>
        </w:rPr>
        <w:t xml:space="preserve">предполагает переработку процессов деятельности </w:t>
      </w:r>
      <w:r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 xml:space="preserve"> с тем, чтобы они соответствовали стандартам </w:t>
      </w:r>
      <w:r w:rsidRPr="008C17FC">
        <w:rPr>
          <w:rFonts w:eastAsiaTheme="minorEastAsia"/>
          <w:sz w:val="28"/>
          <w:szCs w:val="28"/>
        </w:rPr>
        <w:t>«Государство для людей», «Государство для бизнеса», «Стандарт для внутреннего клиента».</w:t>
      </w:r>
    </w:p>
    <w:p w:rsid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Составление реестра процессов </w:t>
      </w:r>
      <w:r w:rsidR="008C17FC">
        <w:rPr>
          <w:rFonts w:eastAsiaTheme="minorEastAsia"/>
          <w:sz w:val="28"/>
          <w:szCs w:val="28"/>
        </w:rPr>
        <w:t>осуществляется</w:t>
      </w:r>
      <w:r w:rsidRPr="00853C0A">
        <w:rPr>
          <w:rFonts w:eastAsiaTheme="minorEastAsia"/>
          <w:sz w:val="28"/>
          <w:szCs w:val="28"/>
        </w:rPr>
        <w:t xml:space="preserve"> для их дальнейшего реинжиниринга в соответствии с принципами и стандартами клиентоцентричности.</w:t>
      </w:r>
    </w:p>
    <w:p w:rsidR="00A151FB" w:rsidRPr="00A151FB" w:rsidRDefault="00A151FB" w:rsidP="00A151F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A151FB">
        <w:rPr>
          <w:rFonts w:eastAsiaTheme="minorEastAsia"/>
          <w:sz w:val="28"/>
          <w:szCs w:val="28"/>
        </w:rPr>
        <w:t xml:space="preserve">Целью ведения реестра являются: </w:t>
      </w:r>
    </w:p>
    <w:p w:rsidR="00A151FB" w:rsidRPr="00A151FB" w:rsidRDefault="00A151FB" w:rsidP="00A151F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A151FB">
        <w:rPr>
          <w:rFonts w:eastAsiaTheme="minorEastAsia"/>
          <w:sz w:val="28"/>
          <w:szCs w:val="28"/>
        </w:rPr>
        <w:t xml:space="preserve">– формирования полной и актуальной базы знаний, содержащей информацию о деятельности департамента; </w:t>
      </w:r>
    </w:p>
    <w:p w:rsidR="00A151FB" w:rsidRPr="00A151FB" w:rsidRDefault="00A151FB" w:rsidP="00A151F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A151FB">
        <w:rPr>
          <w:rFonts w:eastAsiaTheme="minorEastAsia"/>
          <w:sz w:val="28"/>
          <w:szCs w:val="28"/>
        </w:rPr>
        <w:t xml:space="preserve">– выявления межведомственных и внутриведомственных процессов; </w:t>
      </w:r>
    </w:p>
    <w:p w:rsidR="00A151FB" w:rsidRPr="00853C0A" w:rsidRDefault="00A151FB" w:rsidP="00A151F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A151FB">
        <w:rPr>
          <w:rFonts w:eastAsiaTheme="minorEastAsia"/>
          <w:sz w:val="28"/>
          <w:szCs w:val="28"/>
        </w:rPr>
        <w:t>– создания основы для внедрения принципов и стандартов клиентоцентричности.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>Настоящ</w:t>
      </w:r>
      <w:r>
        <w:rPr>
          <w:rFonts w:eastAsiaTheme="minorEastAsia"/>
          <w:sz w:val="28"/>
          <w:szCs w:val="28"/>
        </w:rPr>
        <w:t>ий</w:t>
      </w:r>
      <w:r w:rsidRPr="00853C0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Порядок </w:t>
      </w:r>
      <w:r w:rsidRPr="00853C0A">
        <w:rPr>
          <w:rFonts w:eastAsiaTheme="minorEastAsia"/>
          <w:sz w:val="28"/>
          <w:szCs w:val="28"/>
        </w:rPr>
        <w:t xml:space="preserve">разработан с целью регламентации формирования и ведения реестра межведомственных и внутриведомственных процессов (далее </w:t>
      </w:r>
      <w:r w:rsidR="00DF1120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Реестр) </w:t>
      </w:r>
      <w:r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>.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настоящем </w:t>
      </w:r>
      <w:r>
        <w:rPr>
          <w:rFonts w:eastAsiaTheme="minorEastAsia"/>
          <w:sz w:val="28"/>
          <w:szCs w:val="28"/>
        </w:rPr>
        <w:t>Порядке</w:t>
      </w:r>
      <w:r w:rsidRPr="00853C0A">
        <w:rPr>
          <w:rFonts w:eastAsiaTheme="minorEastAsia"/>
          <w:sz w:val="28"/>
          <w:szCs w:val="28"/>
        </w:rPr>
        <w:t xml:space="preserve"> используются следующие термины и определения: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клиентоцентричность </w:t>
      </w:r>
      <w:r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качество</w:t>
      </w:r>
      <w:r>
        <w:rPr>
          <w:rFonts w:eastAsiaTheme="minorEastAsia"/>
          <w:sz w:val="28"/>
          <w:szCs w:val="28"/>
        </w:rPr>
        <w:t xml:space="preserve"> </w:t>
      </w:r>
      <w:r w:rsidRPr="00853C0A">
        <w:rPr>
          <w:rFonts w:eastAsiaTheme="minorEastAsia"/>
          <w:sz w:val="28"/>
          <w:szCs w:val="28"/>
        </w:rPr>
        <w:t>деятельности, характеризующееся постоянным изучением и удовлетворением законных и справедливых потребностей клиента;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клиент </w:t>
      </w:r>
      <w:r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лицо, которое взаимодействует с </w:t>
      </w:r>
      <w:r>
        <w:rPr>
          <w:rFonts w:eastAsiaTheme="minorEastAsia"/>
          <w:sz w:val="28"/>
          <w:szCs w:val="28"/>
        </w:rPr>
        <w:t>департаментом</w:t>
      </w:r>
      <w:r w:rsidRPr="00853C0A">
        <w:rPr>
          <w:rFonts w:eastAsiaTheme="minorEastAsia"/>
          <w:sz w:val="28"/>
          <w:szCs w:val="28"/>
        </w:rPr>
        <w:t xml:space="preserve"> в следующих статусах: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а) внешний клиент </w:t>
      </w:r>
      <w:r w:rsidR="00DF1120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гражданин или представитель бизнеса (юридическое лицо, индивидуальный предприниматель, самозанятый);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б) внутренний клиент </w:t>
      </w:r>
      <w:r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лицо, замещающее должность государственной гражданской службы в </w:t>
      </w:r>
      <w:r>
        <w:rPr>
          <w:rFonts w:eastAsiaTheme="minorEastAsia"/>
          <w:sz w:val="28"/>
          <w:szCs w:val="28"/>
        </w:rPr>
        <w:t>департаменте</w:t>
      </w:r>
      <w:r w:rsidRPr="00853C0A">
        <w:rPr>
          <w:rFonts w:eastAsiaTheme="minorEastAsia"/>
          <w:sz w:val="28"/>
          <w:szCs w:val="28"/>
        </w:rPr>
        <w:t>, а также работник, замещающий должность, не являющуюся должностью государственной гражданской службы, и осуществляющий техническое обеспечение деятельности</w:t>
      </w:r>
      <w:r>
        <w:rPr>
          <w:rFonts w:eastAsiaTheme="minorEastAsia"/>
          <w:sz w:val="28"/>
          <w:szCs w:val="28"/>
        </w:rPr>
        <w:t xml:space="preserve"> департамента</w:t>
      </w:r>
      <w:r w:rsidRPr="00853C0A">
        <w:rPr>
          <w:rFonts w:eastAsiaTheme="minorEastAsia"/>
          <w:sz w:val="28"/>
          <w:szCs w:val="28"/>
        </w:rPr>
        <w:t>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процесс </w:t>
      </w:r>
      <w:r w:rsidR="008C17FC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повторяемая</w:t>
      </w:r>
      <w:r w:rsidR="008C17FC">
        <w:rPr>
          <w:rFonts w:eastAsiaTheme="minorEastAsia"/>
          <w:sz w:val="28"/>
          <w:szCs w:val="28"/>
        </w:rPr>
        <w:t xml:space="preserve"> </w:t>
      </w:r>
      <w:r w:rsidRPr="00853C0A">
        <w:rPr>
          <w:rFonts w:eastAsiaTheme="minorEastAsia"/>
          <w:sz w:val="28"/>
          <w:szCs w:val="28"/>
        </w:rPr>
        <w:t xml:space="preserve">совокупность логически взаимосвязанных действий и процедур, направленных на осуществление </w:t>
      </w:r>
      <w:r>
        <w:rPr>
          <w:rFonts w:eastAsiaTheme="minorEastAsia"/>
          <w:sz w:val="28"/>
          <w:szCs w:val="28"/>
        </w:rPr>
        <w:t>департаментом</w:t>
      </w:r>
      <w:r w:rsidRPr="00853C0A">
        <w:rPr>
          <w:rFonts w:eastAsiaTheme="minorEastAsia"/>
          <w:sz w:val="28"/>
          <w:szCs w:val="28"/>
        </w:rPr>
        <w:t xml:space="preserve"> своих полномочий при взаимодействии с клиентом;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услуги </w:t>
      </w:r>
      <w:r w:rsidR="008C17FC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деятельность</w:t>
      </w:r>
      <w:r w:rsidR="008C17F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 xml:space="preserve">, связанная с предоставлением государственных услуг в значении Федерального </w:t>
      </w:r>
      <w:hyperlink r:id="rId8" w:history="1">
        <w:r w:rsidRPr="00853C0A">
          <w:rPr>
            <w:rFonts w:eastAsiaTheme="minorEastAsia"/>
            <w:color w:val="0000FF"/>
            <w:sz w:val="28"/>
            <w:szCs w:val="28"/>
          </w:rPr>
          <w:t>закона</w:t>
        </w:r>
      </w:hyperlink>
      <w:r w:rsidRPr="00853C0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</w:t>
      </w:r>
      <w:r w:rsidRPr="00853C0A">
        <w:rPr>
          <w:rFonts w:eastAsiaTheme="minorEastAsia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>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сервисы </w:t>
      </w:r>
      <w:r w:rsidR="008C17FC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онлайн-платформы, предназначенные для обеспечения информационного взаимодействия внешних клиентов и </w:t>
      </w:r>
      <w:r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>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меры поддержки </w:t>
      </w:r>
      <w:r w:rsidR="008C17FC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меры стимулирования развития деятельности субъектов предпринимательской и иной экономической деятельности;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государственный контроль (надзор) </w:t>
      </w:r>
      <w:r w:rsidR="008C17FC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деятельность</w:t>
      </w:r>
      <w:r w:rsidR="008C17F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 xml:space="preserve"> в значении Федерального </w:t>
      </w:r>
      <w:hyperlink r:id="rId9" w:history="1">
        <w:r w:rsidRPr="00853C0A">
          <w:rPr>
            <w:rFonts w:eastAsiaTheme="minorEastAsia"/>
            <w:color w:val="0000FF"/>
            <w:sz w:val="28"/>
            <w:szCs w:val="28"/>
          </w:rPr>
          <w:t>закона</w:t>
        </w:r>
      </w:hyperlink>
      <w:r w:rsidRPr="00853C0A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«</w:t>
      </w:r>
      <w:r w:rsidRPr="00853C0A">
        <w:rPr>
          <w:rFonts w:eastAsiaTheme="minorEastAsia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>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жизненная ситуация </w:t>
      </w:r>
      <w:r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наличие</w:t>
      </w:r>
      <w:r>
        <w:rPr>
          <w:rFonts w:eastAsiaTheme="minorEastAsia"/>
          <w:sz w:val="28"/>
          <w:szCs w:val="28"/>
        </w:rPr>
        <w:t xml:space="preserve"> </w:t>
      </w:r>
      <w:r w:rsidRPr="00853C0A">
        <w:rPr>
          <w:rFonts w:eastAsiaTheme="minorEastAsia"/>
          <w:sz w:val="28"/>
          <w:szCs w:val="28"/>
        </w:rPr>
        <w:t xml:space="preserve">или наступление обстоятельств, влекущих для клиента возможность или необходимость взаимодействовать с </w:t>
      </w:r>
      <w:r w:rsidR="00BE1DB8">
        <w:rPr>
          <w:rFonts w:eastAsiaTheme="minorEastAsia"/>
          <w:sz w:val="28"/>
          <w:szCs w:val="28"/>
        </w:rPr>
        <w:t>департаментом</w:t>
      </w:r>
      <w:r w:rsidRPr="00853C0A">
        <w:rPr>
          <w:rFonts w:eastAsiaTheme="minorEastAsia"/>
          <w:sz w:val="28"/>
          <w:szCs w:val="28"/>
        </w:rPr>
        <w:t>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владелец процесса </w:t>
      </w:r>
      <w:r w:rsidR="008C17FC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должностное</w:t>
      </w:r>
      <w:r w:rsidR="008C17FC">
        <w:rPr>
          <w:rFonts w:eastAsiaTheme="minorEastAsia"/>
          <w:sz w:val="28"/>
          <w:szCs w:val="28"/>
        </w:rPr>
        <w:t xml:space="preserve"> </w:t>
      </w:r>
      <w:r w:rsidRPr="00853C0A">
        <w:rPr>
          <w:rFonts w:eastAsiaTheme="minorEastAsia"/>
          <w:sz w:val="28"/>
          <w:szCs w:val="28"/>
        </w:rPr>
        <w:t xml:space="preserve">лицо </w:t>
      </w:r>
      <w:r w:rsidR="00BE1DB8"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>, ответственное за достижение результата процесса, выполнение показателей процесса и дальнейшее улучшение процесса;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ценность </w:t>
      </w:r>
      <w:r w:rsidR="008C17FC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это</w:t>
      </w:r>
      <w:r w:rsidR="008C17FC">
        <w:rPr>
          <w:rFonts w:eastAsiaTheme="minorEastAsia"/>
          <w:sz w:val="28"/>
          <w:szCs w:val="28"/>
        </w:rPr>
        <w:t xml:space="preserve"> </w:t>
      </w:r>
      <w:r w:rsidRPr="00853C0A">
        <w:rPr>
          <w:rFonts w:eastAsiaTheme="minorEastAsia"/>
          <w:sz w:val="28"/>
          <w:szCs w:val="28"/>
        </w:rPr>
        <w:t>степень, в которой соответствующая услуга (функция, поддержка) соответствует потребностям, ожиданиям и требованиям клиента;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реинжиниринг </w:t>
      </w:r>
      <w:r w:rsidR="008C17FC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деятельность, основанная на методологии и технологиях, направленная на реформирование, проектирование или перепроектирование процессов в целях оптимизации деятельности </w:t>
      </w:r>
      <w:r w:rsidR="00BE1DB8"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 xml:space="preserve"> для обеспечения соответствия требованиям Стандартов клиентоцентричности.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Theme="minorEastAsia"/>
          <w:b/>
          <w:bCs/>
          <w:sz w:val="28"/>
          <w:szCs w:val="28"/>
        </w:rPr>
      </w:pPr>
      <w:r w:rsidRPr="00853C0A">
        <w:rPr>
          <w:rFonts w:eastAsiaTheme="minorEastAsia"/>
          <w:b/>
          <w:bCs/>
          <w:sz w:val="28"/>
          <w:szCs w:val="28"/>
        </w:rPr>
        <w:t>II. Порядок формирования Реестра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</w:p>
    <w:p w:rsidR="00853C0A" w:rsidRPr="00853C0A" w:rsidRDefault="003061E3" w:rsidP="002D48D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Руководитель департамента</w:t>
      </w:r>
      <w:r w:rsidR="00853C0A" w:rsidRPr="00853C0A">
        <w:rPr>
          <w:rFonts w:eastAsiaTheme="minorEastAsia"/>
          <w:sz w:val="28"/>
          <w:szCs w:val="28"/>
        </w:rPr>
        <w:t xml:space="preserve"> определяет ответственного по формированию первоначальной версии Реестра дальнейше</w:t>
      </w:r>
      <w:r w:rsidR="00A151FB">
        <w:rPr>
          <w:rFonts w:eastAsiaTheme="minorEastAsia"/>
          <w:sz w:val="28"/>
          <w:szCs w:val="28"/>
        </w:rPr>
        <w:t>му</w:t>
      </w:r>
      <w:r w:rsidR="00853C0A" w:rsidRPr="00853C0A">
        <w:rPr>
          <w:rFonts w:eastAsiaTheme="minorEastAsia"/>
          <w:sz w:val="28"/>
          <w:szCs w:val="28"/>
        </w:rPr>
        <w:t xml:space="preserve"> ведени</w:t>
      </w:r>
      <w:r w:rsidR="00A151FB">
        <w:rPr>
          <w:rFonts w:eastAsiaTheme="minorEastAsia"/>
          <w:sz w:val="28"/>
          <w:szCs w:val="28"/>
        </w:rPr>
        <w:t>ю</w:t>
      </w:r>
      <w:r w:rsidR="00853C0A" w:rsidRPr="00853C0A">
        <w:rPr>
          <w:rFonts w:eastAsiaTheme="minorEastAsia"/>
          <w:sz w:val="28"/>
          <w:szCs w:val="28"/>
        </w:rPr>
        <w:t xml:space="preserve"> Реестра. </w:t>
      </w:r>
      <w:r>
        <w:rPr>
          <w:rFonts w:eastAsiaTheme="minorEastAsia"/>
          <w:sz w:val="28"/>
          <w:szCs w:val="28"/>
        </w:rPr>
        <w:t>Заместители директора департамента, начальники отделов департамента являются ответственными в части направлений деятельности курируемых подразделений</w:t>
      </w:r>
      <w:r w:rsidR="00A151FB">
        <w:rPr>
          <w:rFonts w:eastAsiaTheme="minorEastAsia"/>
          <w:sz w:val="28"/>
          <w:szCs w:val="28"/>
        </w:rPr>
        <w:t xml:space="preserve"> и участвуют в формировании первоначальной версии Реестра</w:t>
      </w:r>
      <w:r w:rsidR="00853C0A" w:rsidRPr="00853C0A">
        <w:rPr>
          <w:rFonts w:eastAsiaTheme="minorEastAsia"/>
          <w:sz w:val="28"/>
          <w:szCs w:val="28"/>
        </w:rPr>
        <w:t>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Для формирования Реестра используется шаблон </w:t>
      </w:r>
      <w:hyperlink w:anchor="Par388" w:tooltip="Реестр" w:history="1">
        <w:r w:rsidRPr="00853C0A">
          <w:rPr>
            <w:rFonts w:eastAsiaTheme="minorEastAsia"/>
            <w:color w:val="0000FF"/>
            <w:sz w:val="28"/>
            <w:szCs w:val="28"/>
          </w:rPr>
          <w:t>Реестра</w:t>
        </w:r>
      </w:hyperlink>
      <w:r w:rsidRPr="00853C0A">
        <w:rPr>
          <w:rFonts w:eastAsiaTheme="minorEastAsia"/>
          <w:sz w:val="28"/>
          <w:szCs w:val="28"/>
        </w:rPr>
        <w:t xml:space="preserve"> (</w:t>
      </w:r>
      <w:r w:rsidR="008C17FC">
        <w:rPr>
          <w:rFonts w:eastAsiaTheme="minorEastAsia"/>
          <w:sz w:val="28"/>
          <w:szCs w:val="28"/>
        </w:rPr>
        <w:t>П</w:t>
      </w:r>
      <w:r w:rsidRPr="00853C0A">
        <w:rPr>
          <w:rFonts w:eastAsiaTheme="minorEastAsia"/>
          <w:sz w:val="28"/>
          <w:szCs w:val="28"/>
        </w:rPr>
        <w:t xml:space="preserve">риложение </w:t>
      </w:r>
      <w:r w:rsidR="008C17FC">
        <w:rPr>
          <w:rFonts w:eastAsiaTheme="minorEastAsia"/>
          <w:sz w:val="28"/>
          <w:szCs w:val="28"/>
        </w:rPr>
        <w:t>к настоящему Порядку</w:t>
      </w:r>
      <w:r w:rsidRPr="00853C0A">
        <w:rPr>
          <w:rFonts w:eastAsiaTheme="minorEastAsia"/>
          <w:sz w:val="28"/>
          <w:szCs w:val="28"/>
        </w:rPr>
        <w:t>).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шаблоне </w:t>
      </w:r>
      <w:hyperlink w:anchor="Par388" w:tooltip="Реестр" w:history="1">
        <w:r w:rsidRPr="00853C0A">
          <w:rPr>
            <w:rFonts w:eastAsiaTheme="minorEastAsia"/>
            <w:color w:val="0000FF"/>
            <w:sz w:val="28"/>
            <w:szCs w:val="28"/>
          </w:rPr>
          <w:t>Реестра</w:t>
        </w:r>
      </w:hyperlink>
      <w:r w:rsidRPr="00853C0A">
        <w:rPr>
          <w:rFonts w:eastAsiaTheme="minorEastAsia"/>
          <w:sz w:val="28"/>
          <w:szCs w:val="28"/>
        </w:rPr>
        <w:t xml:space="preserve"> обязательными для заполнения являются графы, отмеченные звездочкой</w:t>
      </w:r>
      <w:proofErr w:type="gramStart"/>
      <w:r w:rsidRPr="00853C0A">
        <w:rPr>
          <w:rFonts w:eastAsiaTheme="minorEastAsia"/>
          <w:sz w:val="28"/>
          <w:szCs w:val="28"/>
        </w:rPr>
        <w:t xml:space="preserve"> (*).</w:t>
      </w:r>
      <w:proofErr w:type="gramEnd"/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Не допускается объединять ячейки в графе </w:t>
      </w:r>
      <w:r w:rsidR="003061E3">
        <w:rPr>
          <w:rFonts w:eastAsiaTheme="minorEastAsia"/>
          <w:sz w:val="28"/>
          <w:szCs w:val="28"/>
        </w:rPr>
        <w:t>«</w:t>
      </w:r>
      <w:r w:rsidRPr="00853C0A">
        <w:rPr>
          <w:rFonts w:eastAsiaTheme="minorEastAsia"/>
          <w:sz w:val="28"/>
          <w:szCs w:val="28"/>
        </w:rPr>
        <w:t>название услуги</w:t>
      </w:r>
      <w:r w:rsidR="003061E3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и в других графах, где информация для разных процессов повторяется. Следует дублировать эту информацию для упрощения работы с Реестром при сортировке, фильтрации и поиска по процессам.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393" w:tooltip="Идентификатор процесса*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3061E3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Идентификатор процесса*</w:t>
        </w:r>
      </w:hyperlink>
      <w:r w:rsidR="003061E3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указ</w:t>
      </w:r>
      <w:r w:rsidR="003061E3">
        <w:rPr>
          <w:rFonts w:eastAsiaTheme="minorEastAsia"/>
          <w:sz w:val="28"/>
          <w:szCs w:val="28"/>
        </w:rPr>
        <w:t>ывается</w:t>
      </w:r>
      <w:r w:rsidRPr="00853C0A">
        <w:rPr>
          <w:rFonts w:eastAsiaTheme="minorEastAsia"/>
          <w:sz w:val="28"/>
          <w:szCs w:val="28"/>
        </w:rPr>
        <w:t xml:space="preserve"> уникальный идентификатор процесса. 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394" w:tooltip="Жизненная ситуация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3061E3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Жизненная ситуация</w:t>
        </w:r>
      </w:hyperlink>
      <w:r w:rsidR="003061E3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указ</w:t>
      </w:r>
      <w:r w:rsidR="003061E3">
        <w:rPr>
          <w:rFonts w:eastAsiaTheme="minorEastAsia"/>
          <w:sz w:val="28"/>
          <w:szCs w:val="28"/>
        </w:rPr>
        <w:t>ывается</w:t>
      </w:r>
      <w:r w:rsidRPr="00853C0A">
        <w:rPr>
          <w:rFonts w:eastAsiaTheme="minorEastAsia"/>
          <w:sz w:val="28"/>
          <w:szCs w:val="28"/>
        </w:rPr>
        <w:t xml:space="preserve"> одн</w:t>
      </w:r>
      <w:r w:rsidR="003061E3">
        <w:rPr>
          <w:rFonts w:eastAsiaTheme="minorEastAsia"/>
          <w:sz w:val="28"/>
          <w:szCs w:val="28"/>
        </w:rPr>
        <w:t>а</w:t>
      </w:r>
      <w:r w:rsidRPr="00853C0A">
        <w:rPr>
          <w:rFonts w:eastAsiaTheme="minorEastAsia"/>
          <w:sz w:val="28"/>
          <w:szCs w:val="28"/>
        </w:rPr>
        <w:t xml:space="preserve"> или несколько жизненных ситуаций, в которые входит функция, услуга или сервис. Если функция, услуга или сервис не может быть отнесена к жизненной ситуации, то поле может быть оставлено пустым.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395" w:tooltip="Название услуги, функции, сервиса*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3061E3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Название услуги, функции, сервиса*</w:t>
        </w:r>
      </w:hyperlink>
      <w:r w:rsidR="003061E3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указ</w:t>
      </w:r>
      <w:r w:rsidR="003061E3">
        <w:rPr>
          <w:rFonts w:eastAsiaTheme="minorEastAsia"/>
          <w:sz w:val="28"/>
          <w:szCs w:val="28"/>
        </w:rPr>
        <w:t>ывается</w:t>
      </w:r>
      <w:r w:rsidRPr="00853C0A">
        <w:rPr>
          <w:rFonts w:eastAsiaTheme="minorEastAsia"/>
          <w:sz w:val="28"/>
          <w:szCs w:val="28"/>
        </w:rPr>
        <w:t xml:space="preserve"> название соответствующей услуги, функции или сервиса.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396" w:tooltip="Регулирующий акт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3061E3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Регулирующий акт</w:t>
        </w:r>
      </w:hyperlink>
      <w:r w:rsidR="003061E3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указать правовой акт, которым регулируется осуществление функции, предоставление услуги или сервиса.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397" w:tooltip="Группа процессов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B611ED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Группа процессов</w:t>
        </w:r>
      </w:hyperlink>
      <w:r w:rsidR="00B611ED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B611ED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 xml:space="preserve"> групп</w:t>
      </w:r>
      <w:r w:rsidR="00B611ED">
        <w:rPr>
          <w:rFonts w:eastAsiaTheme="minorEastAsia"/>
          <w:sz w:val="28"/>
          <w:szCs w:val="28"/>
        </w:rPr>
        <w:t>а</w:t>
      </w:r>
      <w:r w:rsidRPr="00853C0A">
        <w:rPr>
          <w:rFonts w:eastAsiaTheme="minorEastAsia"/>
          <w:sz w:val="28"/>
          <w:szCs w:val="28"/>
        </w:rPr>
        <w:t>, в которую входит процесс, согласно группировке</w:t>
      </w:r>
      <w:proofErr w:type="gramStart"/>
      <w:r w:rsidR="00B611ED">
        <w:rPr>
          <w:rFonts w:eastAsiaTheme="minorEastAsia"/>
          <w:sz w:val="28"/>
          <w:szCs w:val="28"/>
        </w:rPr>
        <w:t>.</w:t>
      </w:r>
      <w:r w:rsidRPr="00853C0A">
        <w:rPr>
          <w:rFonts w:eastAsiaTheme="minorEastAsia"/>
          <w:sz w:val="28"/>
          <w:szCs w:val="28"/>
        </w:rPr>
        <w:t>.</w:t>
      </w:r>
      <w:proofErr w:type="gramEnd"/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398" w:tooltip="Название процесса*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B611ED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Название процесса*</w:t>
        </w:r>
      </w:hyperlink>
      <w:r w:rsidR="00B611ED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B611ED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 xml:space="preserve"> названи</w:t>
      </w:r>
      <w:r w:rsidR="00B611ED">
        <w:rPr>
          <w:rFonts w:eastAsiaTheme="minorEastAsia"/>
          <w:sz w:val="28"/>
          <w:szCs w:val="28"/>
        </w:rPr>
        <w:t>е</w:t>
      </w:r>
      <w:r w:rsidRPr="00853C0A">
        <w:rPr>
          <w:rFonts w:eastAsiaTheme="minorEastAsia"/>
          <w:sz w:val="28"/>
          <w:szCs w:val="28"/>
        </w:rPr>
        <w:t xml:space="preserve"> процесс</w:t>
      </w:r>
      <w:r w:rsidR="00B611ED">
        <w:rPr>
          <w:rFonts w:eastAsiaTheme="minorEastAsia"/>
          <w:sz w:val="28"/>
          <w:szCs w:val="28"/>
        </w:rPr>
        <w:t>а</w:t>
      </w:r>
      <w:r w:rsidRPr="00853C0A">
        <w:rPr>
          <w:rFonts w:eastAsiaTheme="minorEastAsia"/>
          <w:sz w:val="28"/>
          <w:szCs w:val="28"/>
        </w:rPr>
        <w:t>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proofErr w:type="gramStart"/>
      <w:r w:rsidRPr="00853C0A">
        <w:rPr>
          <w:rFonts w:eastAsiaTheme="minorEastAsia"/>
          <w:sz w:val="28"/>
          <w:szCs w:val="28"/>
        </w:rPr>
        <w:t xml:space="preserve">В </w:t>
      </w:r>
      <w:hyperlink w:anchor="Par399" w:tooltip="Ответственный за процесс*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B611ED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Ответственный за процесс*</w:t>
        </w:r>
      </w:hyperlink>
      <w:r w:rsidR="00B611ED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B611ED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 xml:space="preserve"> лицо, которое будет выступать ответственным за реинжиниринг процесса.</w:t>
      </w:r>
      <w:proofErr w:type="gramEnd"/>
      <w:r w:rsidRPr="00853C0A">
        <w:rPr>
          <w:rFonts w:eastAsiaTheme="minorEastAsia"/>
          <w:sz w:val="28"/>
          <w:szCs w:val="28"/>
        </w:rPr>
        <w:t xml:space="preserve"> </w:t>
      </w:r>
      <w:proofErr w:type="gramStart"/>
      <w:r w:rsidR="00B611ED">
        <w:rPr>
          <w:rFonts w:eastAsiaTheme="minorEastAsia"/>
          <w:sz w:val="28"/>
          <w:szCs w:val="28"/>
        </w:rPr>
        <w:t>О</w:t>
      </w:r>
      <w:r w:rsidRPr="00853C0A">
        <w:rPr>
          <w:rFonts w:eastAsiaTheme="minorEastAsia"/>
          <w:sz w:val="28"/>
          <w:szCs w:val="28"/>
        </w:rPr>
        <w:t>тветственный</w:t>
      </w:r>
      <w:proofErr w:type="gramEnd"/>
      <w:r w:rsidRPr="00853C0A">
        <w:rPr>
          <w:rFonts w:eastAsiaTheme="minorEastAsia"/>
          <w:sz w:val="28"/>
          <w:szCs w:val="28"/>
        </w:rPr>
        <w:t xml:space="preserve"> </w:t>
      </w:r>
      <w:r w:rsidR="00B01E40">
        <w:rPr>
          <w:rFonts w:eastAsiaTheme="minorEastAsia"/>
          <w:sz w:val="28"/>
          <w:szCs w:val="28"/>
        </w:rPr>
        <w:t>ф</w:t>
      </w:r>
      <w:r w:rsidRPr="00853C0A">
        <w:rPr>
          <w:rFonts w:eastAsiaTheme="minorEastAsia"/>
          <w:sz w:val="28"/>
          <w:szCs w:val="28"/>
        </w:rPr>
        <w:t>ормирует целевое видение процесса и непосредственно координирует осуществление реинжиниринга процесса (внесение изменений в регламенты, инструкции или информационные системы).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400" w:tooltip="Статус процесса (статус реинжиниринга)*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B611ED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Статус процесса*</w:t>
        </w:r>
      </w:hyperlink>
      <w:r w:rsidR="00B611ED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B611ED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 xml:space="preserve"> статус реинжиниринга:</w:t>
      </w:r>
    </w:p>
    <w:p w:rsidR="00853C0A" w:rsidRPr="00B01E40" w:rsidRDefault="00853C0A" w:rsidP="00DF1120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>в очереди на исследование;</w:t>
      </w:r>
    </w:p>
    <w:p w:rsidR="00853C0A" w:rsidRPr="00B01E40" w:rsidRDefault="00853C0A" w:rsidP="00DF1120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>идет исследование;</w:t>
      </w:r>
    </w:p>
    <w:p w:rsidR="00853C0A" w:rsidRPr="00B01E40" w:rsidRDefault="00853C0A" w:rsidP="00DF1120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>в очереди на реинжиниринг;</w:t>
      </w:r>
    </w:p>
    <w:p w:rsidR="00853C0A" w:rsidRPr="00B01E40" w:rsidRDefault="00853C0A" w:rsidP="00DF1120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>проходит реинжиниринг;</w:t>
      </w:r>
    </w:p>
    <w:p w:rsidR="00853C0A" w:rsidRPr="00B01E40" w:rsidRDefault="00853C0A" w:rsidP="00DF1120">
      <w:pPr>
        <w:pStyle w:val="a8"/>
        <w:widowControl w:val="0"/>
        <w:numPr>
          <w:ilvl w:val="0"/>
          <w:numId w:val="12"/>
        </w:numPr>
        <w:autoSpaceDE w:val="0"/>
        <w:autoSpaceDN w:val="0"/>
        <w:adjustRightInd w:val="0"/>
        <w:spacing w:before="200"/>
        <w:ind w:left="0" w:firstLine="709"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>прошел реинжиниринг.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401" w:tooltip="Клиент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B611ED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Клиент</w:t>
        </w:r>
      </w:hyperlink>
      <w:r w:rsidR="00B611ED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B611ED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 xml:space="preserve"> образ конечного получателя результата соответствующей функции, услуги или сервиса.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402" w:tooltip="Ценность для клиента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B611ED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Ценность для клиента</w:t>
        </w:r>
      </w:hyperlink>
      <w:r w:rsidRPr="00853C0A">
        <w:rPr>
          <w:rFonts w:eastAsiaTheme="minorEastAsia"/>
          <w:sz w:val="28"/>
          <w:szCs w:val="28"/>
        </w:rPr>
        <w:t xml:space="preserve"> </w:t>
      </w:r>
      <w:r w:rsidR="00B611ED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>, какую ценность имеет соответствующая функция, услуга или сервис для конечного получателя.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403" w:tooltip="Данные на входе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B611ED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Данные на входе</w:t>
        </w:r>
      </w:hyperlink>
      <w:r w:rsidR="00B611ED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B611ED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 xml:space="preserve">, получение каких сведений и (или) документов необходимо для начала процесса. </w:t>
      </w:r>
      <w:r w:rsidR="00B611ED">
        <w:rPr>
          <w:rFonts w:eastAsiaTheme="minorEastAsia"/>
          <w:sz w:val="28"/>
          <w:szCs w:val="28"/>
        </w:rPr>
        <w:t>Э</w:t>
      </w:r>
      <w:r w:rsidRPr="00853C0A">
        <w:rPr>
          <w:rFonts w:eastAsiaTheme="minorEastAsia"/>
          <w:sz w:val="28"/>
          <w:szCs w:val="28"/>
        </w:rPr>
        <w:t>то может быть результат предыдущего процесса, данные от заявителя или данные от информационной системы.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404" w:tooltip="Результат на выходе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B611ED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Результат на выходе</w:t>
        </w:r>
      </w:hyperlink>
      <w:r w:rsidR="00B611ED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B611ED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>, какой результат получается при завершении процесса.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405" w:tooltip="Связь с другими процессами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FF5B86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Связь с другими процессами</w:t>
        </w:r>
      </w:hyperlink>
      <w:r w:rsidR="00FF5B86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FF5B86">
        <w:rPr>
          <w:rFonts w:eastAsiaTheme="minorEastAsia"/>
          <w:sz w:val="28"/>
          <w:szCs w:val="28"/>
        </w:rPr>
        <w:t>указываются идентификаторы</w:t>
      </w:r>
      <w:r w:rsidRPr="00853C0A">
        <w:rPr>
          <w:rFonts w:eastAsiaTheme="minorEastAsia"/>
          <w:sz w:val="28"/>
          <w:szCs w:val="28"/>
        </w:rPr>
        <w:t xml:space="preserve"> процессов, которые связаны с указанным процессом. Также может быть указан тип такой связи, например, предшествующий (или последующий) процесс.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406" w:tooltip="Вид процесса (цифровой/не цифровой)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FF5B86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Вид процесса</w:t>
        </w:r>
      </w:hyperlink>
      <w:r w:rsidR="00FF5B86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FF5B86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 xml:space="preserve">, осуществляется ли процесс автоматически, например, в рамках работы информационной системы, или же осуществляется вручную сотрудниками </w:t>
      </w:r>
      <w:r w:rsidR="00FF5B86"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>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 </w:t>
      </w:r>
      <w:hyperlink w:anchor="Par407" w:tooltip="Точка размещения в цифровом виде (ЕПГУ, РПГУ, сайт ведомства)" w:history="1">
        <w:r w:rsidRPr="00853C0A">
          <w:rPr>
            <w:rFonts w:eastAsiaTheme="minorEastAsia"/>
            <w:color w:val="0000FF"/>
            <w:sz w:val="28"/>
            <w:szCs w:val="28"/>
          </w:rPr>
          <w:t xml:space="preserve">графе </w:t>
        </w:r>
        <w:r w:rsidR="00FF5B86">
          <w:rPr>
            <w:rFonts w:eastAsiaTheme="minorEastAsia"/>
            <w:color w:val="0000FF"/>
            <w:sz w:val="28"/>
            <w:szCs w:val="28"/>
          </w:rPr>
          <w:t>«</w:t>
        </w:r>
        <w:r w:rsidRPr="00853C0A">
          <w:rPr>
            <w:rFonts w:eastAsiaTheme="minorEastAsia"/>
            <w:color w:val="0000FF"/>
            <w:sz w:val="28"/>
            <w:szCs w:val="28"/>
          </w:rPr>
          <w:t>Точка размещения в цифровом виде</w:t>
        </w:r>
      </w:hyperlink>
      <w:r w:rsidR="00FF5B86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в случае, если услуга или сервис существуют в электронном виде, </w:t>
      </w:r>
      <w:r w:rsidR="00FF5B86">
        <w:rPr>
          <w:rFonts w:eastAsiaTheme="minorEastAsia"/>
          <w:sz w:val="28"/>
          <w:szCs w:val="28"/>
        </w:rPr>
        <w:t>указывается</w:t>
      </w:r>
      <w:r w:rsidRPr="00853C0A">
        <w:rPr>
          <w:rFonts w:eastAsiaTheme="minorEastAsia"/>
          <w:sz w:val="28"/>
          <w:szCs w:val="28"/>
        </w:rPr>
        <w:t xml:space="preserve">, в какой точке они доступны </w:t>
      </w:r>
      <w:r w:rsidR="008C17FC">
        <w:rPr>
          <w:rFonts w:eastAsiaTheme="minorEastAsia"/>
          <w:sz w:val="28"/>
          <w:szCs w:val="28"/>
        </w:rPr>
        <w:t>–</w:t>
      </w:r>
      <w:r w:rsidRPr="00853C0A">
        <w:rPr>
          <w:rFonts w:eastAsiaTheme="minorEastAsia"/>
          <w:sz w:val="28"/>
          <w:szCs w:val="28"/>
        </w:rPr>
        <w:t xml:space="preserve"> ЕПГУ и (или) сайт </w:t>
      </w:r>
      <w:r w:rsidR="00FF5B86"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>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На первом этапе формирования Реестра </w:t>
      </w:r>
      <w:r w:rsidR="00FF5B86">
        <w:rPr>
          <w:rFonts w:eastAsiaTheme="minorEastAsia"/>
          <w:sz w:val="28"/>
          <w:szCs w:val="28"/>
        </w:rPr>
        <w:t>составляется</w:t>
      </w:r>
      <w:r w:rsidRPr="00853C0A">
        <w:rPr>
          <w:rFonts w:eastAsiaTheme="minorEastAsia"/>
          <w:sz w:val="28"/>
          <w:szCs w:val="28"/>
        </w:rPr>
        <w:t xml:space="preserve"> перечень всех услуг, сервисов и функций, в отношении которых </w:t>
      </w:r>
      <w:r w:rsidR="00FF5B86">
        <w:rPr>
          <w:rFonts w:eastAsiaTheme="minorEastAsia"/>
          <w:sz w:val="28"/>
          <w:szCs w:val="28"/>
        </w:rPr>
        <w:t>департамент</w:t>
      </w:r>
      <w:r w:rsidRPr="00853C0A">
        <w:rPr>
          <w:rFonts w:eastAsiaTheme="minorEastAsia"/>
          <w:sz w:val="28"/>
          <w:szCs w:val="28"/>
        </w:rPr>
        <w:t xml:space="preserve"> непосредственно оказывает услуги, предоставляет сервисы и реализует функции. В случае если </w:t>
      </w:r>
      <w:r w:rsidR="00FF5B86">
        <w:rPr>
          <w:rFonts w:eastAsiaTheme="minorEastAsia"/>
          <w:sz w:val="28"/>
          <w:szCs w:val="28"/>
        </w:rPr>
        <w:t>департамент</w:t>
      </w:r>
      <w:r w:rsidRPr="00853C0A">
        <w:rPr>
          <w:rFonts w:eastAsiaTheme="minorEastAsia"/>
          <w:sz w:val="28"/>
          <w:szCs w:val="28"/>
        </w:rPr>
        <w:t xml:space="preserve"> является регулятором, но самостоятельно не оказывает услугу, не предоставляет сервис и не реализует функцию, то услуга, сервис и функция в Реестр не включаются.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На втором этапе формирования Реестра для каждой услуги, сервиса и функции необходимо подготовить или взять готовое описание порядка их предоставления. Такое описание должно основываться на административном регламенте (или ином регламентирующем документе), но при этом учитывать и отдавать приоритет реальному порядку осуществления функции (услуги, сервиса). Необходимо выделить в этом описании процессы, присутствующие в Перечне типовых процессов, и внести такие процессы в Реестр. При заполнении Реестра </w:t>
      </w:r>
      <w:r w:rsidR="00FF5B86">
        <w:rPr>
          <w:rFonts w:eastAsiaTheme="minorEastAsia"/>
          <w:sz w:val="28"/>
          <w:szCs w:val="28"/>
        </w:rPr>
        <w:t>департамент</w:t>
      </w:r>
      <w:r w:rsidRPr="00853C0A">
        <w:rPr>
          <w:rFonts w:eastAsiaTheme="minorEastAsia"/>
          <w:sz w:val="28"/>
          <w:szCs w:val="28"/>
        </w:rPr>
        <w:t xml:space="preserve"> может соотносить с услугой, функцией или сервисом любые процессы из Перечня типовых процессов вне зависимости от того, в какую группу они включены.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Первоначальная версия Реестра считается сформированной, когда такой Реестр содержит все направления деятельности, включенные в </w:t>
      </w:r>
      <w:r w:rsidR="00FF5B86">
        <w:rPr>
          <w:rFonts w:eastAsiaTheme="minorEastAsia"/>
          <w:sz w:val="28"/>
          <w:szCs w:val="28"/>
        </w:rPr>
        <w:t>«</w:t>
      </w:r>
      <w:r w:rsidRPr="00853C0A">
        <w:rPr>
          <w:rFonts w:eastAsiaTheme="minorEastAsia"/>
          <w:sz w:val="28"/>
          <w:szCs w:val="28"/>
        </w:rPr>
        <w:t>дорожную карту</w:t>
      </w:r>
      <w:r w:rsidR="00FF5B86">
        <w:rPr>
          <w:rFonts w:eastAsiaTheme="minorEastAsia"/>
          <w:sz w:val="28"/>
          <w:szCs w:val="28"/>
        </w:rPr>
        <w:t>»</w:t>
      </w:r>
      <w:r w:rsidRPr="00853C0A">
        <w:rPr>
          <w:rFonts w:eastAsiaTheme="minorEastAsia"/>
          <w:sz w:val="28"/>
          <w:szCs w:val="28"/>
        </w:rPr>
        <w:t xml:space="preserve"> </w:t>
      </w:r>
      <w:r w:rsidR="00FF5B86"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 xml:space="preserve">, утвержденную </w:t>
      </w:r>
      <w:r w:rsidR="00FF5B86">
        <w:rPr>
          <w:rFonts w:eastAsiaTheme="minorEastAsia"/>
          <w:sz w:val="28"/>
          <w:szCs w:val="28"/>
        </w:rPr>
        <w:t>приказом департамента от 21 ноября 2023 года</w:t>
      </w:r>
      <w:r w:rsidRPr="00853C0A">
        <w:rPr>
          <w:rFonts w:eastAsiaTheme="minorEastAsia"/>
          <w:sz w:val="28"/>
          <w:szCs w:val="28"/>
        </w:rPr>
        <w:t xml:space="preserve"> </w:t>
      </w:r>
      <w:r w:rsidR="00FF5B86">
        <w:rPr>
          <w:rFonts w:eastAsiaTheme="minorEastAsia"/>
          <w:sz w:val="28"/>
          <w:szCs w:val="28"/>
        </w:rPr>
        <w:t>№149</w:t>
      </w:r>
      <w:r w:rsidR="00DF1120">
        <w:rPr>
          <w:rFonts w:eastAsiaTheme="minorEastAsia"/>
          <w:sz w:val="28"/>
          <w:szCs w:val="28"/>
        </w:rPr>
        <w:t xml:space="preserve"> </w:t>
      </w:r>
      <w:r w:rsidR="00DF1120" w:rsidRPr="00DF1120">
        <w:rPr>
          <w:rFonts w:eastAsiaTheme="minorEastAsia"/>
          <w:sz w:val="28"/>
          <w:szCs w:val="28"/>
        </w:rPr>
        <w:t>«Об организации работы по внедрению Стандартов клиентоцентричности в департаменте финансов Брянской области»</w:t>
      </w:r>
      <w:r w:rsidRPr="00853C0A">
        <w:rPr>
          <w:rFonts w:eastAsiaTheme="minorEastAsia"/>
          <w:sz w:val="28"/>
          <w:szCs w:val="28"/>
        </w:rPr>
        <w:t>.</w:t>
      </w:r>
    </w:p>
    <w:p w:rsidR="00853C0A" w:rsidRP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>Сформированная первоначальная версия Реестра подлежит согласованию со всеми заинтересованными структурными подразделениями</w:t>
      </w:r>
      <w:r w:rsidR="00FF5B86">
        <w:rPr>
          <w:rFonts w:eastAsiaTheme="minorEastAsia"/>
          <w:sz w:val="28"/>
          <w:szCs w:val="28"/>
        </w:rPr>
        <w:t xml:space="preserve"> департамента</w:t>
      </w:r>
      <w:r w:rsidR="00A151FB">
        <w:rPr>
          <w:rFonts w:eastAsiaTheme="minorEastAsia"/>
          <w:sz w:val="28"/>
          <w:szCs w:val="28"/>
        </w:rPr>
        <w:t xml:space="preserve"> и утверждается приказом.</w:t>
      </w:r>
      <w:r w:rsidRPr="00853C0A">
        <w:rPr>
          <w:rFonts w:eastAsiaTheme="minorEastAsia"/>
          <w:sz w:val="28"/>
          <w:szCs w:val="28"/>
        </w:rPr>
        <w:t xml:space="preserve"> Ответственный за внедрение клиентоцентричности в </w:t>
      </w:r>
      <w:r w:rsidR="00FF5B86">
        <w:rPr>
          <w:rFonts w:eastAsiaTheme="minorEastAsia"/>
          <w:sz w:val="28"/>
          <w:szCs w:val="28"/>
        </w:rPr>
        <w:t xml:space="preserve">департаменте </w:t>
      </w:r>
      <w:r w:rsidRPr="00853C0A">
        <w:rPr>
          <w:rFonts w:eastAsiaTheme="minorEastAsia"/>
          <w:sz w:val="28"/>
          <w:szCs w:val="28"/>
        </w:rPr>
        <w:t xml:space="preserve">осуществляет его последующее размещение и хранение, а также доступ сотрудникам </w:t>
      </w:r>
      <w:r w:rsidR="00FF5B86"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 xml:space="preserve"> к актуальной версии Реестра.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eastAsiaTheme="minorEastAsia"/>
          <w:b/>
          <w:bCs/>
          <w:sz w:val="28"/>
          <w:szCs w:val="28"/>
        </w:rPr>
      </w:pPr>
      <w:r w:rsidRPr="00853C0A">
        <w:rPr>
          <w:rFonts w:eastAsiaTheme="minorEastAsia"/>
          <w:b/>
          <w:bCs/>
          <w:sz w:val="28"/>
          <w:szCs w:val="28"/>
        </w:rPr>
        <w:t>III. Порядок внесения изменений в Реестр</w:t>
      </w: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</w:p>
    <w:p w:rsidR="00853C0A" w:rsidRPr="00853C0A" w:rsidRDefault="00FF5B86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</w:t>
      </w:r>
      <w:r w:rsidR="00853C0A" w:rsidRPr="00853C0A">
        <w:rPr>
          <w:rFonts w:eastAsiaTheme="minorEastAsia"/>
          <w:sz w:val="28"/>
          <w:szCs w:val="28"/>
        </w:rPr>
        <w:t xml:space="preserve">несение изменений в Реестр </w:t>
      </w:r>
      <w:r>
        <w:rPr>
          <w:rFonts w:eastAsiaTheme="minorEastAsia"/>
          <w:sz w:val="28"/>
          <w:szCs w:val="28"/>
        </w:rPr>
        <w:t xml:space="preserve">осуществляется </w:t>
      </w:r>
      <w:proofErr w:type="gramStart"/>
      <w:r w:rsidR="00853C0A" w:rsidRPr="00853C0A">
        <w:rPr>
          <w:rFonts w:eastAsiaTheme="minorEastAsia"/>
          <w:sz w:val="28"/>
          <w:szCs w:val="28"/>
        </w:rPr>
        <w:t>ответственн</w:t>
      </w:r>
      <w:r>
        <w:rPr>
          <w:rFonts w:eastAsiaTheme="minorEastAsia"/>
          <w:sz w:val="28"/>
          <w:szCs w:val="28"/>
        </w:rPr>
        <w:t>ым</w:t>
      </w:r>
      <w:proofErr w:type="gramEnd"/>
      <w:r w:rsidR="00853C0A" w:rsidRPr="00853C0A">
        <w:rPr>
          <w:rFonts w:eastAsiaTheme="minorEastAsia"/>
          <w:sz w:val="28"/>
          <w:szCs w:val="28"/>
        </w:rPr>
        <w:t xml:space="preserve"> за внедрение клиентоцентричности в </w:t>
      </w:r>
      <w:r>
        <w:rPr>
          <w:rFonts w:eastAsiaTheme="minorEastAsia"/>
          <w:sz w:val="28"/>
          <w:szCs w:val="28"/>
        </w:rPr>
        <w:t>департаменте</w:t>
      </w:r>
      <w:r w:rsidR="00853C0A" w:rsidRPr="00853C0A">
        <w:rPr>
          <w:rFonts w:eastAsiaTheme="minorEastAsia"/>
          <w:sz w:val="28"/>
          <w:szCs w:val="28"/>
        </w:rPr>
        <w:t>.</w:t>
      </w:r>
    </w:p>
    <w:p w:rsidR="00853C0A" w:rsidRDefault="00853C0A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 xml:space="preserve">Внесение изменений в Реестр инициируют владельцы процессов. Для внесения изменений в Реестр владелец процесса формирует на имя ответственного за внедрение клиентоцентричности в </w:t>
      </w:r>
      <w:r w:rsidR="00FF5B86">
        <w:rPr>
          <w:rFonts w:eastAsiaTheme="minorEastAsia"/>
          <w:sz w:val="28"/>
          <w:szCs w:val="28"/>
        </w:rPr>
        <w:t>департаменте</w:t>
      </w:r>
      <w:r w:rsidRPr="00853C0A">
        <w:rPr>
          <w:rFonts w:eastAsiaTheme="minorEastAsia"/>
          <w:sz w:val="28"/>
          <w:szCs w:val="28"/>
        </w:rPr>
        <w:t xml:space="preserve"> запрос, где описывает, какой процесс необходимо добавить (исключить) и по каким основаниям, и размещает запрос в системе электронного документооборота (СЭД) для согласования с соответствующими структурными подразделениями и должностными лицами </w:t>
      </w:r>
      <w:r w:rsidR="00FF5B86">
        <w:rPr>
          <w:rFonts w:eastAsiaTheme="minorEastAsia"/>
          <w:sz w:val="28"/>
          <w:szCs w:val="28"/>
        </w:rPr>
        <w:t>департамента</w:t>
      </w:r>
      <w:r w:rsidRPr="00853C0A">
        <w:rPr>
          <w:rFonts w:eastAsiaTheme="minorEastAsia"/>
          <w:sz w:val="28"/>
          <w:szCs w:val="28"/>
        </w:rPr>
        <w:t>.</w:t>
      </w:r>
    </w:p>
    <w:p w:rsidR="00B01E40" w:rsidRPr="00B01E40" w:rsidRDefault="00B01E40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>Актуализация реестра процессов проводится не реже, чем каждые шесть месяцев (при наличии изменений в перечне процессов) ответственным по следующему алгоритму:</w:t>
      </w:r>
    </w:p>
    <w:p w:rsidR="00B01E40" w:rsidRPr="00B01E40" w:rsidRDefault="00B01E40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 xml:space="preserve"> – сбор сведений от начальников отделов департамента по установленной форме реестра процессов; </w:t>
      </w:r>
    </w:p>
    <w:p w:rsidR="00B01E40" w:rsidRPr="00B01E40" w:rsidRDefault="00B01E40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 xml:space="preserve">– обработка представленной информации; </w:t>
      </w:r>
    </w:p>
    <w:p w:rsidR="00B01E40" w:rsidRPr="00B01E40" w:rsidRDefault="00B01E40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 xml:space="preserve">– внесение информации в реестр процессов департамента в соответствии с требованиями к заполнению; </w:t>
      </w:r>
    </w:p>
    <w:p w:rsidR="00B01E40" w:rsidRPr="00B01E40" w:rsidRDefault="00B01E40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 xml:space="preserve">– утверждение актуализированного реестра процессов приказом департамента; </w:t>
      </w:r>
    </w:p>
    <w:p w:rsidR="00B01E40" w:rsidRPr="00853C0A" w:rsidRDefault="00B01E40" w:rsidP="002D48DB">
      <w:pPr>
        <w:widowControl w:val="0"/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B01E40">
        <w:rPr>
          <w:rFonts w:eastAsiaTheme="minorEastAsia"/>
          <w:sz w:val="28"/>
          <w:szCs w:val="28"/>
        </w:rPr>
        <w:t>– информирование начальников отдела департамента о завершении актуализации.</w:t>
      </w:r>
    </w:p>
    <w:p w:rsidR="00706A45" w:rsidRDefault="00706A45" w:rsidP="00706A45">
      <w:pPr>
        <w:widowControl w:val="0"/>
        <w:autoSpaceDE w:val="0"/>
        <w:autoSpaceDN w:val="0"/>
        <w:adjustRightInd w:val="0"/>
        <w:ind w:left="5103"/>
        <w:contextualSpacing/>
        <w:jc w:val="right"/>
        <w:outlineLvl w:val="1"/>
        <w:rPr>
          <w:rFonts w:eastAsiaTheme="minorEastAsia"/>
          <w:sz w:val="28"/>
          <w:szCs w:val="28"/>
        </w:rPr>
        <w:sectPr w:rsidR="00706A45" w:rsidSect="00AC79A1"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706A45" w:rsidRDefault="00706A45" w:rsidP="00706A45">
      <w:pPr>
        <w:widowControl w:val="0"/>
        <w:autoSpaceDE w:val="0"/>
        <w:autoSpaceDN w:val="0"/>
        <w:adjustRightInd w:val="0"/>
        <w:ind w:left="5103"/>
        <w:contextualSpacing/>
        <w:jc w:val="right"/>
        <w:outlineLvl w:val="1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>Приложение</w:t>
      </w:r>
    </w:p>
    <w:p w:rsidR="00853C0A" w:rsidRPr="00853C0A" w:rsidRDefault="00B01E40" w:rsidP="00706A45">
      <w:pPr>
        <w:widowControl w:val="0"/>
        <w:autoSpaceDE w:val="0"/>
        <w:autoSpaceDN w:val="0"/>
        <w:adjustRightInd w:val="0"/>
        <w:ind w:left="5103"/>
        <w:contextualSpacing/>
        <w:jc w:val="righ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 П</w:t>
      </w:r>
      <w:r w:rsidR="00853C0A" w:rsidRPr="00853C0A">
        <w:rPr>
          <w:rFonts w:eastAsiaTheme="minorEastAsia"/>
          <w:sz w:val="28"/>
          <w:szCs w:val="28"/>
        </w:rPr>
        <w:t>орядк</w:t>
      </w:r>
      <w:r>
        <w:rPr>
          <w:rFonts w:eastAsiaTheme="minorEastAsia"/>
          <w:sz w:val="28"/>
          <w:szCs w:val="28"/>
        </w:rPr>
        <w:t>у</w:t>
      </w:r>
      <w:r w:rsidR="00853C0A" w:rsidRPr="00853C0A">
        <w:rPr>
          <w:rFonts w:eastAsiaTheme="minorEastAsia"/>
          <w:sz w:val="28"/>
          <w:szCs w:val="28"/>
        </w:rPr>
        <w:t xml:space="preserve"> ведения реестра межведомственных</w:t>
      </w:r>
      <w:r w:rsidR="00706A45">
        <w:rPr>
          <w:rFonts w:eastAsiaTheme="minorEastAsia"/>
          <w:sz w:val="28"/>
          <w:szCs w:val="28"/>
        </w:rPr>
        <w:t xml:space="preserve"> </w:t>
      </w:r>
      <w:r w:rsidR="00853C0A" w:rsidRPr="00853C0A">
        <w:rPr>
          <w:rFonts w:eastAsiaTheme="minorEastAsia"/>
          <w:sz w:val="28"/>
          <w:szCs w:val="28"/>
        </w:rPr>
        <w:t xml:space="preserve">и внутриведомственных процессов </w:t>
      </w:r>
      <w:r>
        <w:rPr>
          <w:rFonts w:eastAsiaTheme="minorEastAsia"/>
          <w:sz w:val="28"/>
          <w:szCs w:val="28"/>
        </w:rPr>
        <w:t>департамента финансов Брянской области</w:t>
      </w:r>
    </w:p>
    <w:p w:rsidR="00853C0A" w:rsidRDefault="00853C0A" w:rsidP="00853C0A">
      <w:pPr>
        <w:widowControl w:val="0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</w:p>
    <w:p w:rsidR="00B01E40" w:rsidRPr="00853C0A" w:rsidRDefault="00B01E40" w:rsidP="00853C0A">
      <w:pPr>
        <w:widowControl w:val="0"/>
        <w:autoSpaceDE w:val="0"/>
        <w:autoSpaceDN w:val="0"/>
        <w:adjustRightInd w:val="0"/>
        <w:contextualSpacing/>
        <w:jc w:val="both"/>
        <w:rPr>
          <w:rFonts w:eastAsiaTheme="minorEastAsia"/>
          <w:sz w:val="28"/>
          <w:szCs w:val="28"/>
        </w:rPr>
      </w:pPr>
    </w:p>
    <w:p w:rsidR="00853C0A" w:rsidRPr="00853C0A" w:rsidRDefault="00853C0A" w:rsidP="00853C0A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bookmarkStart w:id="1" w:name="Par388"/>
      <w:bookmarkEnd w:id="1"/>
      <w:r w:rsidRPr="00853C0A">
        <w:rPr>
          <w:rFonts w:eastAsiaTheme="minorEastAsia"/>
          <w:sz w:val="28"/>
          <w:szCs w:val="28"/>
        </w:rPr>
        <w:t>Реестр</w:t>
      </w:r>
    </w:p>
    <w:p w:rsidR="00706A45" w:rsidRDefault="00853C0A" w:rsidP="00853C0A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 w:rsidRPr="00853C0A">
        <w:rPr>
          <w:rFonts w:eastAsiaTheme="minorEastAsia"/>
          <w:sz w:val="28"/>
          <w:szCs w:val="28"/>
        </w:rPr>
        <w:t>межведомственных и внутриведомственных процессов</w:t>
      </w:r>
      <w:r w:rsidR="00B01E40">
        <w:rPr>
          <w:rFonts w:eastAsiaTheme="minorEastAsia"/>
          <w:sz w:val="28"/>
          <w:szCs w:val="28"/>
        </w:rPr>
        <w:t xml:space="preserve"> </w:t>
      </w:r>
    </w:p>
    <w:p w:rsidR="00853C0A" w:rsidRPr="00853C0A" w:rsidRDefault="00B01E40" w:rsidP="00853C0A">
      <w:pPr>
        <w:widowControl w:val="0"/>
        <w:autoSpaceDE w:val="0"/>
        <w:autoSpaceDN w:val="0"/>
        <w:adjustRightInd w:val="0"/>
        <w:contextualSpacing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департамента финансов Брянской области</w:t>
      </w:r>
    </w:p>
    <w:p w:rsidR="00B01E40" w:rsidRPr="00B01E40" w:rsidRDefault="00B01E40" w:rsidP="00B01E40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6104" w:type="dxa"/>
        <w:tblInd w:w="-714" w:type="dxa"/>
        <w:tblLook w:val="04A0" w:firstRow="1" w:lastRow="0" w:firstColumn="1" w:lastColumn="0" w:noHBand="0" w:noVBand="1"/>
      </w:tblPr>
      <w:tblGrid>
        <w:gridCol w:w="1563"/>
        <w:gridCol w:w="1021"/>
        <w:gridCol w:w="1523"/>
        <w:gridCol w:w="1086"/>
        <w:gridCol w:w="1534"/>
        <w:gridCol w:w="1730"/>
        <w:gridCol w:w="840"/>
        <w:gridCol w:w="1031"/>
        <w:gridCol w:w="879"/>
        <w:gridCol w:w="1050"/>
        <w:gridCol w:w="1219"/>
        <w:gridCol w:w="1380"/>
        <w:gridCol w:w="1248"/>
      </w:tblGrid>
      <w:tr w:rsidR="00B01E40" w:rsidRPr="00B01E40" w:rsidTr="00706A45">
        <w:trPr>
          <w:trHeight w:val="90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Идентификатор процесса*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Название услуги, функции, сервиса*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Регулирующий акт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Название процесса*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proofErr w:type="gramStart"/>
            <w:r w:rsidRPr="00B01E40">
              <w:rPr>
                <w:color w:val="000000"/>
              </w:rPr>
              <w:t>Ответственный за процесс*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Статус процесса (статус реинжиниринга)*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Клиент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Ценность для клиента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Данные на входе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Результат на выходе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Связь с другими процессами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Вид процесса</w:t>
            </w:r>
            <w:r w:rsidRPr="00B01E40">
              <w:rPr>
                <w:color w:val="000000"/>
              </w:rPr>
              <w:br/>
              <w:t>(цифровой\не цифровой)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E40" w:rsidRPr="00B01E40" w:rsidRDefault="00B01E40" w:rsidP="00B01E40">
            <w:pPr>
              <w:jc w:val="center"/>
              <w:rPr>
                <w:color w:val="000000"/>
              </w:rPr>
            </w:pPr>
            <w:r w:rsidRPr="00B01E40">
              <w:rPr>
                <w:color w:val="000000"/>
              </w:rPr>
              <w:t>Точка размещения в цифровом виде</w:t>
            </w:r>
            <w:r w:rsidRPr="00B01E40">
              <w:rPr>
                <w:color w:val="000000"/>
              </w:rPr>
              <w:br/>
              <w:t>(ЕПГУ, РПГУ, сайт ведомства)</w:t>
            </w:r>
          </w:p>
        </w:tc>
      </w:tr>
      <w:tr w:rsidR="00B01E40" w:rsidRPr="00B01E40" w:rsidTr="00BF5D84">
        <w:trPr>
          <w:trHeight w:val="329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1E40" w:rsidRPr="00B01E40" w:rsidTr="00BF5D84">
        <w:trPr>
          <w:trHeight w:val="4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1E40" w:rsidRPr="00B01E40" w:rsidTr="00BF5D84">
        <w:trPr>
          <w:trHeight w:val="420"/>
        </w:trPr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E40" w:rsidRPr="00B01E40" w:rsidRDefault="00B01E40" w:rsidP="00B01E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B01E40" w:rsidRPr="00B01E40" w:rsidRDefault="00B01E40" w:rsidP="00B01E40">
      <w:pPr>
        <w:spacing w:after="160" w:line="259" w:lineRule="auto"/>
        <w:jc w:val="center"/>
        <w:rPr>
          <w:rFonts w:eastAsia="Calibri"/>
          <w:sz w:val="28"/>
          <w:szCs w:val="28"/>
          <w:lang w:eastAsia="en-US"/>
        </w:rPr>
      </w:pPr>
    </w:p>
    <w:p w:rsidR="00853C0A" w:rsidRDefault="00853C0A" w:rsidP="00B01E40">
      <w:pPr>
        <w:widowControl w:val="0"/>
        <w:autoSpaceDE w:val="0"/>
        <w:autoSpaceDN w:val="0"/>
        <w:adjustRightInd w:val="0"/>
        <w:contextualSpacing/>
        <w:rPr>
          <w:rFonts w:eastAsiaTheme="minorEastAsia"/>
          <w:sz w:val="28"/>
          <w:szCs w:val="28"/>
        </w:rPr>
      </w:pPr>
    </w:p>
    <w:sectPr w:rsidR="00853C0A" w:rsidSect="00706A45">
      <w:pgSz w:w="16838" w:h="11906" w:orient="landscape" w:code="9"/>
      <w:pgMar w:top="1134" w:right="1440" w:bottom="567" w:left="1440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4209"/>
    <w:multiLevelType w:val="hybridMultilevel"/>
    <w:tmpl w:val="BE9E4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297482"/>
    <w:multiLevelType w:val="hybridMultilevel"/>
    <w:tmpl w:val="5BAC6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F96D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345592"/>
    <w:multiLevelType w:val="hybridMultilevel"/>
    <w:tmpl w:val="1BFE47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1475037"/>
    <w:multiLevelType w:val="multilevel"/>
    <w:tmpl w:val="AF56E39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8A61EA"/>
    <w:multiLevelType w:val="hybridMultilevel"/>
    <w:tmpl w:val="51BE3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1E3D"/>
    <w:multiLevelType w:val="hybridMultilevel"/>
    <w:tmpl w:val="28A6C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663684"/>
    <w:multiLevelType w:val="singleLevel"/>
    <w:tmpl w:val="405EDC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>
    <w:nsid w:val="766C60B8"/>
    <w:multiLevelType w:val="hybridMultilevel"/>
    <w:tmpl w:val="BD5016A6"/>
    <w:lvl w:ilvl="0" w:tplc="22B86734">
      <w:start w:val="1"/>
      <w:numFmt w:val="decimal"/>
      <w:lvlText w:val="%1."/>
      <w:lvlJc w:val="left"/>
      <w:pPr>
        <w:ind w:left="1775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8FF301A"/>
    <w:multiLevelType w:val="singleLevel"/>
    <w:tmpl w:val="3C5629C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7DC36C6B"/>
    <w:multiLevelType w:val="hybridMultilevel"/>
    <w:tmpl w:val="D840B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C04F89"/>
    <w:multiLevelType w:val="singleLevel"/>
    <w:tmpl w:val="1BBEC0C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7"/>
  </w:num>
  <w:num w:numId="5">
    <w:abstractNumId w:val="4"/>
    <w:lvlOverride w:ilvl="0">
      <w:startOverride w:val="2"/>
    </w:lvlOverride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55"/>
    <w:rsid w:val="000015FE"/>
    <w:rsid w:val="00004B11"/>
    <w:rsid w:val="0001103A"/>
    <w:rsid w:val="00013BC6"/>
    <w:rsid w:val="00013CE2"/>
    <w:rsid w:val="00013DB7"/>
    <w:rsid w:val="000210DE"/>
    <w:rsid w:val="0002163E"/>
    <w:rsid w:val="00021EAE"/>
    <w:rsid w:val="000227D8"/>
    <w:rsid w:val="00027ED6"/>
    <w:rsid w:val="0003612B"/>
    <w:rsid w:val="00037906"/>
    <w:rsid w:val="00037994"/>
    <w:rsid w:val="000405CE"/>
    <w:rsid w:val="00040E1E"/>
    <w:rsid w:val="0004169E"/>
    <w:rsid w:val="00044181"/>
    <w:rsid w:val="00044247"/>
    <w:rsid w:val="00045550"/>
    <w:rsid w:val="00050E49"/>
    <w:rsid w:val="00052ADE"/>
    <w:rsid w:val="00054A87"/>
    <w:rsid w:val="00061186"/>
    <w:rsid w:val="000638E8"/>
    <w:rsid w:val="00063E63"/>
    <w:rsid w:val="0006467F"/>
    <w:rsid w:val="00065DF7"/>
    <w:rsid w:val="000660DF"/>
    <w:rsid w:val="00066F85"/>
    <w:rsid w:val="00067E2A"/>
    <w:rsid w:val="00082CA5"/>
    <w:rsid w:val="000847E0"/>
    <w:rsid w:val="000907F9"/>
    <w:rsid w:val="00093AFA"/>
    <w:rsid w:val="00096D3B"/>
    <w:rsid w:val="000B085A"/>
    <w:rsid w:val="000B480A"/>
    <w:rsid w:val="000B786D"/>
    <w:rsid w:val="000B7E7A"/>
    <w:rsid w:val="000C045B"/>
    <w:rsid w:val="000C07DA"/>
    <w:rsid w:val="000C1FEA"/>
    <w:rsid w:val="000C2914"/>
    <w:rsid w:val="000D2805"/>
    <w:rsid w:val="000D7469"/>
    <w:rsid w:val="000E4DB1"/>
    <w:rsid w:val="000E64EF"/>
    <w:rsid w:val="000F0B63"/>
    <w:rsid w:val="000F0DCF"/>
    <w:rsid w:val="000F1C28"/>
    <w:rsid w:val="000F5277"/>
    <w:rsid w:val="000F670F"/>
    <w:rsid w:val="00101682"/>
    <w:rsid w:val="00101BA2"/>
    <w:rsid w:val="001020BF"/>
    <w:rsid w:val="00102C42"/>
    <w:rsid w:val="00106CDF"/>
    <w:rsid w:val="0011589D"/>
    <w:rsid w:val="00116F76"/>
    <w:rsid w:val="001173C0"/>
    <w:rsid w:val="00117A00"/>
    <w:rsid w:val="00122826"/>
    <w:rsid w:val="00122D5F"/>
    <w:rsid w:val="00122FCA"/>
    <w:rsid w:val="00126D97"/>
    <w:rsid w:val="00131E05"/>
    <w:rsid w:val="00137541"/>
    <w:rsid w:val="00137C81"/>
    <w:rsid w:val="00140C4D"/>
    <w:rsid w:val="0014401B"/>
    <w:rsid w:val="00144EDA"/>
    <w:rsid w:val="00155694"/>
    <w:rsid w:val="00157758"/>
    <w:rsid w:val="00157B77"/>
    <w:rsid w:val="00162D45"/>
    <w:rsid w:val="001647DA"/>
    <w:rsid w:val="00165E98"/>
    <w:rsid w:val="00172D4F"/>
    <w:rsid w:val="00173D7A"/>
    <w:rsid w:val="00173EF0"/>
    <w:rsid w:val="00180FA0"/>
    <w:rsid w:val="00181EC5"/>
    <w:rsid w:val="00182864"/>
    <w:rsid w:val="00185329"/>
    <w:rsid w:val="0019122D"/>
    <w:rsid w:val="00194C7F"/>
    <w:rsid w:val="00195817"/>
    <w:rsid w:val="00197AE8"/>
    <w:rsid w:val="001A045A"/>
    <w:rsid w:val="001A07C7"/>
    <w:rsid w:val="001A1E48"/>
    <w:rsid w:val="001A2E4D"/>
    <w:rsid w:val="001A3AF3"/>
    <w:rsid w:val="001A54B6"/>
    <w:rsid w:val="001B0FF8"/>
    <w:rsid w:val="001B207F"/>
    <w:rsid w:val="001B2113"/>
    <w:rsid w:val="001B5217"/>
    <w:rsid w:val="001C03ED"/>
    <w:rsid w:val="001C0AFB"/>
    <w:rsid w:val="001C0C7B"/>
    <w:rsid w:val="001C4DE5"/>
    <w:rsid w:val="001C512F"/>
    <w:rsid w:val="001C5846"/>
    <w:rsid w:val="001C604D"/>
    <w:rsid w:val="001D2710"/>
    <w:rsid w:val="001D44E4"/>
    <w:rsid w:val="001D606E"/>
    <w:rsid w:val="001D6417"/>
    <w:rsid w:val="001E5AFA"/>
    <w:rsid w:val="001E5C79"/>
    <w:rsid w:val="001E67A3"/>
    <w:rsid w:val="001E750C"/>
    <w:rsid w:val="001F1229"/>
    <w:rsid w:val="001F6DF1"/>
    <w:rsid w:val="00201319"/>
    <w:rsid w:val="002016BF"/>
    <w:rsid w:val="00201AF2"/>
    <w:rsid w:val="00204088"/>
    <w:rsid w:val="0020410B"/>
    <w:rsid w:val="00206E69"/>
    <w:rsid w:val="002075D5"/>
    <w:rsid w:val="00212293"/>
    <w:rsid w:val="002128CF"/>
    <w:rsid w:val="00213A74"/>
    <w:rsid w:val="0022038C"/>
    <w:rsid w:val="002238C6"/>
    <w:rsid w:val="00230FAA"/>
    <w:rsid w:val="00233D9E"/>
    <w:rsid w:val="00234AB6"/>
    <w:rsid w:val="002358AF"/>
    <w:rsid w:val="00236A5A"/>
    <w:rsid w:val="002405E4"/>
    <w:rsid w:val="002472EB"/>
    <w:rsid w:val="00250D5B"/>
    <w:rsid w:val="002528AF"/>
    <w:rsid w:val="00253A97"/>
    <w:rsid w:val="002563F8"/>
    <w:rsid w:val="00256BE1"/>
    <w:rsid w:val="00262164"/>
    <w:rsid w:val="002628EF"/>
    <w:rsid w:val="002666FF"/>
    <w:rsid w:val="002672F6"/>
    <w:rsid w:val="00270A68"/>
    <w:rsid w:val="002754B9"/>
    <w:rsid w:val="00280C83"/>
    <w:rsid w:val="00285471"/>
    <w:rsid w:val="002865A5"/>
    <w:rsid w:val="00287F88"/>
    <w:rsid w:val="00292C48"/>
    <w:rsid w:val="00295E89"/>
    <w:rsid w:val="00297ABF"/>
    <w:rsid w:val="00297FF4"/>
    <w:rsid w:val="002A3743"/>
    <w:rsid w:val="002A3BEB"/>
    <w:rsid w:val="002A6933"/>
    <w:rsid w:val="002A6DC6"/>
    <w:rsid w:val="002A7915"/>
    <w:rsid w:val="002A7CB8"/>
    <w:rsid w:val="002B22F6"/>
    <w:rsid w:val="002B2696"/>
    <w:rsid w:val="002B5076"/>
    <w:rsid w:val="002C0EFC"/>
    <w:rsid w:val="002C47F9"/>
    <w:rsid w:val="002C727C"/>
    <w:rsid w:val="002C7949"/>
    <w:rsid w:val="002C7E1C"/>
    <w:rsid w:val="002D2E69"/>
    <w:rsid w:val="002D3912"/>
    <w:rsid w:val="002D48DB"/>
    <w:rsid w:val="002D4F4F"/>
    <w:rsid w:val="002D5A35"/>
    <w:rsid w:val="002E01E2"/>
    <w:rsid w:val="002E0E09"/>
    <w:rsid w:val="002E382C"/>
    <w:rsid w:val="002E43BE"/>
    <w:rsid w:val="002E43F6"/>
    <w:rsid w:val="002F14CB"/>
    <w:rsid w:val="002F2534"/>
    <w:rsid w:val="002F2C96"/>
    <w:rsid w:val="002F3ABC"/>
    <w:rsid w:val="003009AE"/>
    <w:rsid w:val="00303A96"/>
    <w:rsid w:val="00303AD1"/>
    <w:rsid w:val="003061E3"/>
    <w:rsid w:val="0030669D"/>
    <w:rsid w:val="0031016C"/>
    <w:rsid w:val="00311CB4"/>
    <w:rsid w:val="0031661A"/>
    <w:rsid w:val="00321E3A"/>
    <w:rsid w:val="00327813"/>
    <w:rsid w:val="0033038D"/>
    <w:rsid w:val="003332F4"/>
    <w:rsid w:val="0033390C"/>
    <w:rsid w:val="00334B10"/>
    <w:rsid w:val="00343301"/>
    <w:rsid w:val="00345639"/>
    <w:rsid w:val="00365599"/>
    <w:rsid w:val="00365761"/>
    <w:rsid w:val="00366E24"/>
    <w:rsid w:val="00372888"/>
    <w:rsid w:val="00375942"/>
    <w:rsid w:val="00375A72"/>
    <w:rsid w:val="00376FCE"/>
    <w:rsid w:val="00380260"/>
    <w:rsid w:val="00384D6F"/>
    <w:rsid w:val="0038550F"/>
    <w:rsid w:val="0039121B"/>
    <w:rsid w:val="003922F3"/>
    <w:rsid w:val="00393923"/>
    <w:rsid w:val="00394603"/>
    <w:rsid w:val="0039572D"/>
    <w:rsid w:val="003B0569"/>
    <w:rsid w:val="003B667F"/>
    <w:rsid w:val="003C3B8A"/>
    <w:rsid w:val="003C3F62"/>
    <w:rsid w:val="003C77A7"/>
    <w:rsid w:val="003D03D9"/>
    <w:rsid w:val="003D36BF"/>
    <w:rsid w:val="003D5304"/>
    <w:rsid w:val="003D534B"/>
    <w:rsid w:val="003D553F"/>
    <w:rsid w:val="003D7811"/>
    <w:rsid w:val="003E4AA2"/>
    <w:rsid w:val="003E5A4B"/>
    <w:rsid w:val="003E7267"/>
    <w:rsid w:val="003E72CA"/>
    <w:rsid w:val="003E73B3"/>
    <w:rsid w:val="003F010A"/>
    <w:rsid w:val="003F0923"/>
    <w:rsid w:val="003F4E77"/>
    <w:rsid w:val="003F6924"/>
    <w:rsid w:val="00404D75"/>
    <w:rsid w:val="00405328"/>
    <w:rsid w:val="00405907"/>
    <w:rsid w:val="00405A50"/>
    <w:rsid w:val="00410630"/>
    <w:rsid w:val="00410A61"/>
    <w:rsid w:val="00410FAA"/>
    <w:rsid w:val="00412147"/>
    <w:rsid w:val="00412727"/>
    <w:rsid w:val="00413ACA"/>
    <w:rsid w:val="0041582F"/>
    <w:rsid w:val="004158A7"/>
    <w:rsid w:val="00421032"/>
    <w:rsid w:val="004219D4"/>
    <w:rsid w:val="00423516"/>
    <w:rsid w:val="00425369"/>
    <w:rsid w:val="00425B8C"/>
    <w:rsid w:val="0042607F"/>
    <w:rsid w:val="0043333A"/>
    <w:rsid w:val="00437974"/>
    <w:rsid w:val="0044064F"/>
    <w:rsid w:val="00445F18"/>
    <w:rsid w:val="00450FD7"/>
    <w:rsid w:val="004517F5"/>
    <w:rsid w:val="00452F66"/>
    <w:rsid w:val="004563E6"/>
    <w:rsid w:val="00456E0F"/>
    <w:rsid w:val="00456ED1"/>
    <w:rsid w:val="00457360"/>
    <w:rsid w:val="00457F7B"/>
    <w:rsid w:val="00463F83"/>
    <w:rsid w:val="004656AC"/>
    <w:rsid w:val="00466C89"/>
    <w:rsid w:val="00467BA2"/>
    <w:rsid w:val="004703C0"/>
    <w:rsid w:val="0047566A"/>
    <w:rsid w:val="0048034F"/>
    <w:rsid w:val="00481928"/>
    <w:rsid w:val="0048622A"/>
    <w:rsid w:val="00486239"/>
    <w:rsid w:val="00490BCB"/>
    <w:rsid w:val="00491B7E"/>
    <w:rsid w:val="004953FF"/>
    <w:rsid w:val="00497FDD"/>
    <w:rsid w:val="004A0020"/>
    <w:rsid w:val="004A1E44"/>
    <w:rsid w:val="004A6AF0"/>
    <w:rsid w:val="004B08D2"/>
    <w:rsid w:val="004B17F6"/>
    <w:rsid w:val="004B6563"/>
    <w:rsid w:val="004C09ED"/>
    <w:rsid w:val="004C3BC5"/>
    <w:rsid w:val="004C4FD7"/>
    <w:rsid w:val="004C7D66"/>
    <w:rsid w:val="004D091F"/>
    <w:rsid w:val="004D1536"/>
    <w:rsid w:val="004D1C62"/>
    <w:rsid w:val="004D4EFF"/>
    <w:rsid w:val="004D5E4A"/>
    <w:rsid w:val="004E15F0"/>
    <w:rsid w:val="004E294F"/>
    <w:rsid w:val="004F2A7D"/>
    <w:rsid w:val="005027DD"/>
    <w:rsid w:val="005030E0"/>
    <w:rsid w:val="005058C5"/>
    <w:rsid w:val="00507273"/>
    <w:rsid w:val="00512E79"/>
    <w:rsid w:val="00514C8A"/>
    <w:rsid w:val="00516557"/>
    <w:rsid w:val="005166F9"/>
    <w:rsid w:val="00516CD0"/>
    <w:rsid w:val="00517719"/>
    <w:rsid w:val="00517C98"/>
    <w:rsid w:val="00520422"/>
    <w:rsid w:val="00524211"/>
    <w:rsid w:val="0052758A"/>
    <w:rsid w:val="00541F43"/>
    <w:rsid w:val="00542A3B"/>
    <w:rsid w:val="00554E1D"/>
    <w:rsid w:val="00555BCA"/>
    <w:rsid w:val="005566C9"/>
    <w:rsid w:val="005612D4"/>
    <w:rsid w:val="00564E7A"/>
    <w:rsid w:val="00565089"/>
    <w:rsid w:val="005673E5"/>
    <w:rsid w:val="0057696C"/>
    <w:rsid w:val="005806AA"/>
    <w:rsid w:val="005813BB"/>
    <w:rsid w:val="00583EAC"/>
    <w:rsid w:val="005873D0"/>
    <w:rsid w:val="00590D22"/>
    <w:rsid w:val="005968F9"/>
    <w:rsid w:val="00597462"/>
    <w:rsid w:val="005A0806"/>
    <w:rsid w:val="005A1A91"/>
    <w:rsid w:val="005A1B64"/>
    <w:rsid w:val="005A3698"/>
    <w:rsid w:val="005A4207"/>
    <w:rsid w:val="005B0589"/>
    <w:rsid w:val="005B143F"/>
    <w:rsid w:val="005C0022"/>
    <w:rsid w:val="005C52C4"/>
    <w:rsid w:val="005C5669"/>
    <w:rsid w:val="005D6D8C"/>
    <w:rsid w:val="005E5AB2"/>
    <w:rsid w:val="005E7C93"/>
    <w:rsid w:val="005E7D12"/>
    <w:rsid w:val="005F133A"/>
    <w:rsid w:val="005F3152"/>
    <w:rsid w:val="005F3A40"/>
    <w:rsid w:val="00601743"/>
    <w:rsid w:val="0060222F"/>
    <w:rsid w:val="006030D5"/>
    <w:rsid w:val="006034AB"/>
    <w:rsid w:val="006053DB"/>
    <w:rsid w:val="00605FFF"/>
    <w:rsid w:val="006069A1"/>
    <w:rsid w:val="006073BE"/>
    <w:rsid w:val="00607B17"/>
    <w:rsid w:val="00610310"/>
    <w:rsid w:val="00613075"/>
    <w:rsid w:val="006148B1"/>
    <w:rsid w:val="00616569"/>
    <w:rsid w:val="00616597"/>
    <w:rsid w:val="006226D9"/>
    <w:rsid w:val="006241E6"/>
    <w:rsid w:val="0063146F"/>
    <w:rsid w:val="00632DE3"/>
    <w:rsid w:val="00634CCC"/>
    <w:rsid w:val="0064084A"/>
    <w:rsid w:val="00644343"/>
    <w:rsid w:val="006449EA"/>
    <w:rsid w:val="006454AD"/>
    <w:rsid w:val="00646C04"/>
    <w:rsid w:val="00650048"/>
    <w:rsid w:val="006500B1"/>
    <w:rsid w:val="006512DA"/>
    <w:rsid w:val="00651FBD"/>
    <w:rsid w:val="00653476"/>
    <w:rsid w:val="00654D7D"/>
    <w:rsid w:val="00657698"/>
    <w:rsid w:val="00660FAE"/>
    <w:rsid w:val="0066428D"/>
    <w:rsid w:val="00664740"/>
    <w:rsid w:val="00664CDA"/>
    <w:rsid w:val="0066786E"/>
    <w:rsid w:val="006678E3"/>
    <w:rsid w:val="0067208C"/>
    <w:rsid w:val="0068457B"/>
    <w:rsid w:val="00685041"/>
    <w:rsid w:val="0069016A"/>
    <w:rsid w:val="00690617"/>
    <w:rsid w:val="00690C68"/>
    <w:rsid w:val="00694997"/>
    <w:rsid w:val="006952DD"/>
    <w:rsid w:val="006A26CE"/>
    <w:rsid w:val="006A3718"/>
    <w:rsid w:val="006A41F4"/>
    <w:rsid w:val="006A6F77"/>
    <w:rsid w:val="006A7FAB"/>
    <w:rsid w:val="006B0238"/>
    <w:rsid w:val="006B43F9"/>
    <w:rsid w:val="006C0748"/>
    <w:rsid w:val="006C0F92"/>
    <w:rsid w:val="006C2EAB"/>
    <w:rsid w:val="006C3604"/>
    <w:rsid w:val="006C5291"/>
    <w:rsid w:val="006C76C3"/>
    <w:rsid w:val="006D43CD"/>
    <w:rsid w:val="006D6458"/>
    <w:rsid w:val="006D7558"/>
    <w:rsid w:val="006E1611"/>
    <w:rsid w:val="006E18BC"/>
    <w:rsid w:val="006E2E48"/>
    <w:rsid w:val="006F0EFE"/>
    <w:rsid w:val="006F3D19"/>
    <w:rsid w:val="006F7830"/>
    <w:rsid w:val="006F7842"/>
    <w:rsid w:val="007016B8"/>
    <w:rsid w:val="0070351B"/>
    <w:rsid w:val="00704070"/>
    <w:rsid w:val="00704CCB"/>
    <w:rsid w:val="00706706"/>
    <w:rsid w:val="00706A45"/>
    <w:rsid w:val="00707847"/>
    <w:rsid w:val="00707D10"/>
    <w:rsid w:val="00711DD0"/>
    <w:rsid w:val="00712C8D"/>
    <w:rsid w:val="00714875"/>
    <w:rsid w:val="00714F77"/>
    <w:rsid w:val="00716BE3"/>
    <w:rsid w:val="0072437F"/>
    <w:rsid w:val="00725D98"/>
    <w:rsid w:val="0073480C"/>
    <w:rsid w:val="00734B9A"/>
    <w:rsid w:val="007351B6"/>
    <w:rsid w:val="007358CA"/>
    <w:rsid w:val="007421ED"/>
    <w:rsid w:val="00742E6F"/>
    <w:rsid w:val="00743542"/>
    <w:rsid w:val="00744722"/>
    <w:rsid w:val="00745F54"/>
    <w:rsid w:val="00746A14"/>
    <w:rsid w:val="00751294"/>
    <w:rsid w:val="00753265"/>
    <w:rsid w:val="0075391B"/>
    <w:rsid w:val="007547AF"/>
    <w:rsid w:val="0075504C"/>
    <w:rsid w:val="007576A4"/>
    <w:rsid w:val="007616CF"/>
    <w:rsid w:val="00761C63"/>
    <w:rsid w:val="007638A3"/>
    <w:rsid w:val="007665C3"/>
    <w:rsid w:val="007735DB"/>
    <w:rsid w:val="00773C0B"/>
    <w:rsid w:val="00774A3D"/>
    <w:rsid w:val="0077511F"/>
    <w:rsid w:val="00781555"/>
    <w:rsid w:val="00782F74"/>
    <w:rsid w:val="0078634D"/>
    <w:rsid w:val="00791F62"/>
    <w:rsid w:val="00792377"/>
    <w:rsid w:val="00793871"/>
    <w:rsid w:val="00793CCB"/>
    <w:rsid w:val="00793DD8"/>
    <w:rsid w:val="00794C35"/>
    <w:rsid w:val="00794E24"/>
    <w:rsid w:val="007A32A6"/>
    <w:rsid w:val="007A3A3D"/>
    <w:rsid w:val="007A7E39"/>
    <w:rsid w:val="007A7EE0"/>
    <w:rsid w:val="007B1F89"/>
    <w:rsid w:val="007B48BF"/>
    <w:rsid w:val="007B6336"/>
    <w:rsid w:val="007C3F09"/>
    <w:rsid w:val="007C7980"/>
    <w:rsid w:val="007D1E8B"/>
    <w:rsid w:val="007D650A"/>
    <w:rsid w:val="007D6E90"/>
    <w:rsid w:val="007D7B92"/>
    <w:rsid w:val="007E531B"/>
    <w:rsid w:val="007E6B96"/>
    <w:rsid w:val="007F11D8"/>
    <w:rsid w:val="007F31F0"/>
    <w:rsid w:val="00801AC3"/>
    <w:rsid w:val="008048AA"/>
    <w:rsid w:val="00805395"/>
    <w:rsid w:val="00807CFB"/>
    <w:rsid w:val="00811C62"/>
    <w:rsid w:val="00813CEC"/>
    <w:rsid w:val="008170A1"/>
    <w:rsid w:val="00817ECA"/>
    <w:rsid w:val="00820418"/>
    <w:rsid w:val="00821696"/>
    <w:rsid w:val="00821FFC"/>
    <w:rsid w:val="0082393F"/>
    <w:rsid w:val="00824E1C"/>
    <w:rsid w:val="0082759E"/>
    <w:rsid w:val="008318F8"/>
    <w:rsid w:val="008369B0"/>
    <w:rsid w:val="008408A2"/>
    <w:rsid w:val="008417A0"/>
    <w:rsid w:val="008463EF"/>
    <w:rsid w:val="0084666B"/>
    <w:rsid w:val="008475D3"/>
    <w:rsid w:val="00851678"/>
    <w:rsid w:val="00853593"/>
    <w:rsid w:val="00853C0A"/>
    <w:rsid w:val="008545F2"/>
    <w:rsid w:val="00854963"/>
    <w:rsid w:val="00861331"/>
    <w:rsid w:val="0086187D"/>
    <w:rsid w:val="008639BB"/>
    <w:rsid w:val="008654D2"/>
    <w:rsid w:val="008723A0"/>
    <w:rsid w:val="0087332F"/>
    <w:rsid w:val="00873C8D"/>
    <w:rsid w:val="0087423B"/>
    <w:rsid w:val="00875D08"/>
    <w:rsid w:val="0087671E"/>
    <w:rsid w:val="008834DB"/>
    <w:rsid w:val="008908D8"/>
    <w:rsid w:val="00892723"/>
    <w:rsid w:val="00895119"/>
    <w:rsid w:val="00897374"/>
    <w:rsid w:val="008A3214"/>
    <w:rsid w:val="008A5C55"/>
    <w:rsid w:val="008B30C1"/>
    <w:rsid w:val="008B3F09"/>
    <w:rsid w:val="008B54AA"/>
    <w:rsid w:val="008C17FC"/>
    <w:rsid w:val="008C31CC"/>
    <w:rsid w:val="008C5266"/>
    <w:rsid w:val="008C6115"/>
    <w:rsid w:val="008D0D27"/>
    <w:rsid w:val="008D46E0"/>
    <w:rsid w:val="008D4813"/>
    <w:rsid w:val="008D520C"/>
    <w:rsid w:val="008D6081"/>
    <w:rsid w:val="008E17D1"/>
    <w:rsid w:val="008E56E8"/>
    <w:rsid w:val="008E5D53"/>
    <w:rsid w:val="008E62D0"/>
    <w:rsid w:val="008F0DC2"/>
    <w:rsid w:val="008F685B"/>
    <w:rsid w:val="008F6A7D"/>
    <w:rsid w:val="009008D7"/>
    <w:rsid w:val="00902270"/>
    <w:rsid w:val="0090404E"/>
    <w:rsid w:val="00911D09"/>
    <w:rsid w:val="00914B4A"/>
    <w:rsid w:val="00914EAD"/>
    <w:rsid w:val="00917AFA"/>
    <w:rsid w:val="00921708"/>
    <w:rsid w:val="00921E07"/>
    <w:rsid w:val="00923103"/>
    <w:rsid w:val="009312D3"/>
    <w:rsid w:val="00931DE8"/>
    <w:rsid w:val="00934F09"/>
    <w:rsid w:val="00937CF9"/>
    <w:rsid w:val="00940269"/>
    <w:rsid w:val="009403A7"/>
    <w:rsid w:val="00944876"/>
    <w:rsid w:val="00944AA1"/>
    <w:rsid w:val="009452FB"/>
    <w:rsid w:val="00955134"/>
    <w:rsid w:val="00956D3A"/>
    <w:rsid w:val="00960658"/>
    <w:rsid w:val="009633C3"/>
    <w:rsid w:val="00963A2A"/>
    <w:rsid w:val="00964395"/>
    <w:rsid w:val="00971A17"/>
    <w:rsid w:val="00971D11"/>
    <w:rsid w:val="00973E5D"/>
    <w:rsid w:val="009801A9"/>
    <w:rsid w:val="0098105F"/>
    <w:rsid w:val="00992E5D"/>
    <w:rsid w:val="009934F2"/>
    <w:rsid w:val="009A65EA"/>
    <w:rsid w:val="009B1D8E"/>
    <w:rsid w:val="009B2E87"/>
    <w:rsid w:val="009B4218"/>
    <w:rsid w:val="009B66C9"/>
    <w:rsid w:val="009B6E8C"/>
    <w:rsid w:val="009C3997"/>
    <w:rsid w:val="009D1DB6"/>
    <w:rsid w:val="009D26BB"/>
    <w:rsid w:val="009D2BA5"/>
    <w:rsid w:val="009D7CA7"/>
    <w:rsid w:val="009E1558"/>
    <w:rsid w:val="009E2574"/>
    <w:rsid w:val="009E540C"/>
    <w:rsid w:val="009F3C12"/>
    <w:rsid w:val="009F50E3"/>
    <w:rsid w:val="009F5736"/>
    <w:rsid w:val="009F5BCD"/>
    <w:rsid w:val="009F5DCE"/>
    <w:rsid w:val="009F7327"/>
    <w:rsid w:val="00A044CF"/>
    <w:rsid w:val="00A04636"/>
    <w:rsid w:val="00A04F35"/>
    <w:rsid w:val="00A0612C"/>
    <w:rsid w:val="00A1183E"/>
    <w:rsid w:val="00A151FB"/>
    <w:rsid w:val="00A158B9"/>
    <w:rsid w:val="00A2292D"/>
    <w:rsid w:val="00A24ED0"/>
    <w:rsid w:val="00A260AD"/>
    <w:rsid w:val="00A26926"/>
    <w:rsid w:val="00A26FE1"/>
    <w:rsid w:val="00A30DBB"/>
    <w:rsid w:val="00A3109B"/>
    <w:rsid w:val="00A31D70"/>
    <w:rsid w:val="00A34437"/>
    <w:rsid w:val="00A350F4"/>
    <w:rsid w:val="00A35357"/>
    <w:rsid w:val="00A3704D"/>
    <w:rsid w:val="00A3768F"/>
    <w:rsid w:val="00A41FF2"/>
    <w:rsid w:val="00A4316E"/>
    <w:rsid w:val="00A47352"/>
    <w:rsid w:val="00A47703"/>
    <w:rsid w:val="00A51CD8"/>
    <w:rsid w:val="00A54994"/>
    <w:rsid w:val="00A56366"/>
    <w:rsid w:val="00A57E36"/>
    <w:rsid w:val="00A616E6"/>
    <w:rsid w:val="00A62007"/>
    <w:rsid w:val="00A71646"/>
    <w:rsid w:val="00A74B45"/>
    <w:rsid w:val="00A7533D"/>
    <w:rsid w:val="00A76210"/>
    <w:rsid w:val="00A81ED6"/>
    <w:rsid w:val="00A82ECC"/>
    <w:rsid w:val="00A85EC8"/>
    <w:rsid w:val="00A87FDA"/>
    <w:rsid w:val="00A92896"/>
    <w:rsid w:val="00A94132"/>
    <w:rsid w:val="00A952F2"/>
    <w:rsid w:val="00A97ED7"/>
    <w:rsid w:val="00AA188C"/>
    <w:rsid w:val="00AA3689"/>
    <w:rsid w:val="00AA5B6E"/>
    <w:rsid w:val="00AB0FA8"/>
    <w:rsid w:val="00AB6507"/>
    <w:rsid w:val="00AC1D61"/>
    <w:rsid w:val="00AC236A"/>
    <w:rsid w:val="00AC3F22"/>
    <w:rsid w:val="00AC4105"/>
    <w:rsid w:val="00AC579B"/>
    <w:rsid w:val="00AC5CCB"/>
    <w:rsid w:val="00AC79A1"/>
    <w:rsid w:val="00AD24BA"/>
    <w:rsid w:val="00AD2BA9"/>
    <w:rsid w:val="00AD7B24"/>
    <w:rsid w:val="00AE018F"/>
    <w:rsid w:val="00AE023D"/>
    <w:rsid w:val="00AE09C2"/>
    <w:rsid w:val="00AE1DA7"/>
    <w:rsid w:val="00AE1E94"/>
    <w:rsid w:val="00AE76FE"/>
    <w:rsid w:val="00AF21F1"/>
    <w:rsid w:val="00AF2A92"/>
    <w:rsid w:val="00AF3276"/>
    <w:rsid w:val="00AF3759"/>
    <w:rsid w:val="00AF5CCF"/>
    <w:rsid w:val="00AF7F26"/>
    <w:rsid w:val="00B0051C"/>
    <w:rsid w:val="00B009F3"/>
    <w:rsid w:val="00B01E40"/>
    <w:rsid w:val="00B109D4"/>
    <w:rsid w:val="00B141DD"/>
    <w:rsid w:val="00B1491C"/>
    <w:rsid w:val="00B166C5"/>
    <w:rsid w:val="00B21465"/>
    <w:rsid w:val="00B24BF3"/>
    <w:rsid w:val="00B25D9B"/>
    <w:rsid w:val="00B357DC"/>
    <w:rsid w:val="00B426AC"/>
    <w:rsid w:val="00B44946"/>
    <w:rsid w:val="00B456D3"/>
    <w:rsid w:val="00B50B83"/>
    <w:rsid w:val="00B60A88"/>
    <w:rsid w:val="00B611ED"/>
    <w:rsid w:val="00B63791"/>
    <w:rsid w:val="00B643B7"/>
    <w:rsid w:val="00B65DB6"/>
    <w:rsid w:val="00B663DB"/>
    <w:rsid w:val="00B75C78"/>
    <w:rsid w:val="00B77B4E"/>
    <w:rsid w:val="00B83E26"/>
    <w:rsid w:val="00B85165"/>
    <w:rsid w:val="00B86989"/>
    <w:rsid w:val="00B87D4C"/>
    <w:rsid w:val="00B91153"/>
    <w:rsid w:val="00B91D3B"/>
    <w:rsid w:val="00B926F8"/>
    <w:rsid w:val="00B92D72"/>
    <w:rsid w:val="00B9364F"/>
    <w:rsid w:val="00B95073"/>
    <w:rsid w:val="00B9604B"/>
    <w:rsid w:val="00B969BF"/>
    <w:rsid w:val="00B96F61"/>
    <w:rsid w:val="00BA0556"/>
    <w:rsid w:val="00BA5A3B"/>
    <w:rsid w:val="00BA65BE"/>
    <w:rsid w:val="00BB2509"/>
    <w:rsid w:val="00BB62A6"/>
    <w:rsid w:val="00BB76F3"/>
    <w:rsid w:val="00BC4A18"/>
    <w:rsid w:val="00BD7578"/>
    <w:rsid w:val="00BD7DB9"/>
    <w:rsid w:val="00BE1DB8"/>
    <w:rsid w:val="00BE1EEC"/>
    <w:rsid w:val="00BE391C"/>
    <w:rsid w:val="00BE4993"/>
    <w:rsid w:val="00BF158E"/>
    <w:rsid w:val="00BF7492"/>
    <w:rsid w:val="00C0521B"/>
    <w:rsid w:val="00C17221"/>
    <w:rsid w:val="00C20717"/>
    <w:rsid w:val="00C2157D"/>
    <w:rsid w:val="00C23685"/>
    <w:rsid w:val="00C23962"/>
    <w:rsid w:val="00C263CC"/>
    <w:rsid w:val="00C30D82"/>
    <w:rsid w:val="00C32FD4"/>
    <w:rsid w:val="00C3419B"/>
    <w:rsid w:val="00C53801"/>
    <w:rsid w:val="00C63A7E"/>
    <w:rsid w:val="00C65E19"/>
    <w:rsid w:val="00C67796"/>
    <w:rsid w:val="00C7145B"/>
    <w:rsid w:val="00C7373F"/>
    <w:rsid w:val="00C749AA"/>
    <w:rsid w:val="00C76A91"/>
    <w:rsid w:val="00C77362"/>
    <w:rsid w:val="00C81DD2"/>
    <w:rsid w:val="00C8369A"/>
    <w:rsid w:val="00C851D0"/>
    <w:rsid w:val="00C8703F"/>
    <w:rsid w:val="00C94243"/>
    <w:rsid w:val="00C96E48"/>
    <w:rsid w:val="00C97CA7"/>
    <w:rsid w:val="00CA73B6"/>
    <w:rsid w:val="00CB588C"/>
    <w:rsid w:val="00CB6066"/>
    <w:rsid w:val="00CB6C1F"/>
    <w:rsid w:val="00CB7991"/>
    <w:rsid w:val="00CC07C1"/>
    <w:rsid w:val="00CC23A0"/>
    <w:rsid w:val="00CC698E"/>
    <w:rsid w:val="00CC7D8B"/>
    <w:rsid w:val="00CC7E3F"/>
    <w:rsid w:val="00CD1C1B"/>
    <w:rsid w:val="00CD375F"/>
    <w:rsid w:val="00CD4E6F"/>
    <w:rsid w:val="00CD6256"/>
    <w:rsid w:val="00CE2F19"/>
    <w:rsid w:val="00CF1E6C"/>
    <w:rsid w:val="00D046CF"/>
    <w:rsid w:val="00D0546C"/>
    <w:rsid w:val="00D06C17"/>
    <w:rsid w:val="00D079B9"/>
    <w:rsid w:val="00D149AF"/>
    <w:rsid w:val="00D1754C"/>
    <w:rsid w:val="00D209DE"/>
    <w:rsid w:val="00D24AB9"/>
    <w:rsid w:val="00D27D61"/>
    <w:rsid w:val="00D316D2"/>
    <w:rsid w:val="00D324EF"/>
    <w:rsid w:val="00D337F5"/>
    <w:rsid w:val="00D41A1E"/>
    <w:rsid w:val="00D41D4D"/>
    <w:rsid w:val="00D42F46"/>
    <w:rsid w:val="00D45AF4"/>
    <w:rsid w:val="00D46D01"/>
    <w:rsid w:val="00D50AEC"/>
    <w:rsid w:val="00D52718"/>
    <w:rsid w:val="00D547F2"/>
    <w:rsid w:val="00D55A29"/>
    <w:rsid w:val="00D62207"/>
    <w:rsid w:val="00D627EE"/>
    <w:rsid w:val="00D67153"/>
    <w:rsid w:val="00D6719F"/>
    <w:rsid w:val="00D71049"/>
    <w:rsid w:val="00D71488"/>
    <w:rsid w:val="00D73A7D"/>
    <w:rsid w:val="00D76279"/>
    <w:rsid w:val="00D76654"/>
    <w:rsid w:val="00D80490"/>
    <w:rsid w:val="00D807CB"/>
    <w:rsid w:val="00D81CEC"/>
    <w:rsid w:val="00D82401"/>
    <w:rsid w:val="00D85058"/>
    <w:rsid w:val="00D863FE"/>
    <w:rsid w:val="00D86EAC"/>
    <w:rsid w:val="00D9585D"/>
    <w:rsid w:val="00D9724B"/>
    <w:rsid w:val="00D97861"/>
    <w:rsid w:val="00DA2463"/>
    <w:rsid w:val="00DA4781"/>
    <w:rsid w:val="00DA7254"/>
    <w:rsid w:val="00DA79A2"/>
    <w:rsid w:val="00DB1892"/>
    <w:rsid w:val="00DB3BA3"/>
    <w:rsid w:val="00DC05C4"/>
    <w:rsid w:val="00DC0879"/>
    <w:rsid w:val="00DC26BE"/>
    <w:rsid w:val="00DC2DC3"/>
    <w:rsid w:val="00DC6123"/>
    <w:rsid w:val="00DC6B1E"/>
    <w:rsid w:val="00DD314C"/>
    <w:rsid w:val="00DD541F"/>
    <w:rsid w:val="00DD67F7"/>
    <w:rsid w:val="00DD6D3B"/>
    <w:rsid w:val="00DE0FD9"/>
    <w:rsid w:val="00DE128B"/>
    <w:rsid w:val="00DE6871"/>
    <w:rsid w:val="00DF1120"/>
    <w:rsid w:val="00DF3B62"/>
    <w:rsid w:val="00DF501A"/>
    <w:rsid w:val="00DF6406"/>
    <w:rsid w:val="00E0234E"/>
    <w:rsid w:val="00E07138"/>
    <w:rsid w:val="00E07336"/>
    <w:rsid w:val="00E07F04"/>
    <w:rsid w:val="00E16E8A"/>
    <w:rsid w:val="00E2216A"/>
    <w:rsid w:val="00E23067"/>
    <w:rsid w:val="00E23D0A"/>
    <w:rsid w:val="00E27CA5"/>
    <w:rsid w:val="00E312E0"/>
    <w:rsid w:val="00E3143C"/>
    <w:rsid w:val="00E31F28"/>
    <w:rsid w:val="00E33FAC"/>
    <w:rsid w:val="00E36873"/>
    <w:rsid w:val="00E51758"/>
    <w:rsid w:val="00E51EFB"/>
    <w:rsid w:val="00E536B1"/>
    <w:rsid w:val="00E53F53"/>
    <w:rsid w:val="00E55C90"/>
    <w:rsid w:val="00E644C0"/>
    <w:rsid w:val="00E645E2"/>
    <w:rsid w:val="00E669DB"/>
    <w:rsid w:val="00E71248"/>
    <w:rsid w:val="00E77D4D"/>
    <w:rsid w:val="00E8008C"/>
    <w:rsid w:val="00E83188"/>
    <w:rsid w:val="00E97833"/>
    <w:rsid w:val="00EA5992"/>
    <w:rsid w:val="00EA6041"/>
    <w:rsid w:val="00EA7213"/>
    <w:rsid w:val="00EB29F1"/>
    <w:rsid w:val="00EB4B3F"/>
    <w:rsid w:val="00EC0611"/>
    <w:rsid w:val="00EC3E54"/>
    <w:rsid w:val="00EC537E"/>
    <w:rsid w:val="00ED1A4E"/>
    <w:rsid w:val="00ED5E1B"/>
    <w:rsid w:val="00EE0977"/>
    <w:rsid w:val="00EE09DB"/>
    <w:rsid w:val="00EE0FE0"/>
    <w:rsid w:val="00EE4B7F"/>
    <w:rsid w:val="00EE5A6C"/>
    <w:rsid w:val="00EE5D6F"/>
    <w:rsid w:val="00EE7C9D"/>
    <w:rsid w:val="00EF0BC5"/>
    <w:rsid w:val="00EF0EC6"/>
    <w:rsid w:val="00EF1DA9"/>
    <w:rsid w:val="00EF64AE"/>
    <w:rsid w:val="00F00EC8"/>
    <w:rsid w:val="00F013E4"/>
    <w:rsid w:val="00F01C80"/>
    <w:rsid w:val="00F11F66"/>
    <w:rsid w:val="00F22A56"/>
    <w:rsid w:val="00F35FF4"/>
    <w:rsid w:val="00F3762F"/>
    <w:rsid w:val="00F37BAC"/>
    <w:rsid w:val="00F40DA1"/>
    <w:rsid w:val="00F43B66"/>
    <w:rsid w:val="00F44AF6"/>
    <w:rsid w:val="00F458B1"/>
    <w:rsid w:val="00F45D39"/>
    <w:rsid w:val="00F46152"/>
    <w:rsid w:val="00F47A3B"/>
    <w:rsid w:val="00F50452"/>
    <w:rsid w:val="00F55510"/>
    <w:rsid w:val="00F55BD4"/>
    <w:rsid w:val="00F57F88"/>
    <w:rsid w:val="00F61342"/>
    <w:rsid w:val="00F61936"/>
    <w:rsid w:val="00F625C6"/>
    <w:rsid w:val="00F65684"/>
    <w:rsid w:val="00F663CF"/>
    <w:rsid w:val="00F66E03"/>
    <w:rsid w:val="00F72B7D"/>
    <w:rsid w:val="00F8247B"/>
    <w:rsid w:val="00F82940"/>
    <w:rsid w:val="00F83259"/>
    <w:rsid w:val="00F85248"/>
    <w:rsid w:val="00F87C55"/>
    <w:rsid w:val="00F92220"/>
    <w:rsid w:val="00F947F0"/>
    <w:rsid w:val="00F9610D"/>
    <w:rsid w:val="00FA2F44"/>
    <w:rsid w:val="00FA31EC"/>
    <w:rsid w:val="00FA475B"/>
    <w:rsid w:val="00FA55D0"/>
    <w:rsid w:val="00FA779B"/>
    <w:rsid w:val="00FB1595"/>
    <w:rsid w:val="00FB4469"/>
    <w:rsid w:val="00FB61C6"/>
    <w:rsid w:val="00FB6DE7"/>
    <w:rsid w:val="00FC4A33"/>
    <w:rsid w:val="00FC4E6A"/>
    <w:rsid w:val="00FD4565"/>
    <w:rsid w:val="00FD6C7B"/>
    <w:rsid w:val="00FE3A39"/>
    <w:rsid w:val="00FE52BB"/>
    <w:rsid w:val="00FE5487"/>
    <w:rsid w:val="00FE77AF"/>
    <w:rsid w:val="00FF3B27"/>
    <w:rsid w:val="00FF4685"/>
    <w:rsid w:val="00FF5B19"/>
    <w:rsid w:val="00FF5B86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1134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alloon Text"/>
    <w:basedOn w:val="a"/>
    <w:semiHidden/>
    <w:rsid w:val="00BA055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72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663DB"/>
  </w:style>
  <w:style w:type="paragraph" w:styleId="a8">
    <w:name w:val="List Paragraph"/>
    <w:basedOn w:val="a"/>
    <w:uiPriority w:val="34"/>
    <w:qFormat/>
    <w:rsid w:val="003C3B8A"/>
    <w:pPr>
      <w:ind w:left="720"/>
      <w:contextualSpacing/>
    </w:pPr>
  </w:style>
  <w:style w:type="paragraph" w:customStyle="1" w:styleId="ConsPlusNormal">
    <w:name w:val="ConsPlusNormal"/>
    <w:rsid w:val="00853C0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853C0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53C0A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1134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Balloon Text"/>
    <w:basedOn w:val="a"/>
    <w:semiHidden/>
    <w:rsid w:val="00BA0556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72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B663DB"/>
  </w:style>
  <w:style w:type="paragraph" w:styleId="a8">
    <w:name w:val="List Paragraph"/>
    <w:basedOn w:val="a"/>
    <w:uiPriority w:val="34"/>
    <w:qFormat/>
    <w:rsid w:val="003C3B8A"/>
    <w:pPr>
      <w:ind w:left="720"/>
      <w:contextualSpacing/>
    </w:pPr>
  </w:style>
  <w:style w:type="paragraph" w:customStyle="1" w:styleId="ConsPlusNormal">
    <w:name w:val="ConsPlusNormal"/>
    <w:rsid w:val="00853C0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header"/>
    <w:basedOn w:val="a"/>
    <w:link w:val="aa"/>
    <w:uiPriority w:val="99"/>
    <w:unhideWhenUsed/>
    <w:rsid w:val="00853C0A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853C0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313&amp;date=20.12.20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0028&amp;date=20.1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9D040-06A8-44C2-B86A-EF28D906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1908</Words>
  <Characters>10876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Администрация  Брянской  области</vt:lpstr>
      <vt:lpstr>    </vt:lpstr>
      <vt:lpstr>    I. Общие положения</vt:lpstr>
      <vt:lpstr>    II. Порядок формирования Реестра</vt:lpstr>
      <vt:lpstr>    III. Порядок внесения изменений в Реестр</vt:lpstr>
      <vt:lpstr>    </vt:lpstr>
      <vt:lpstr>    Приложение</vt:lpstr>
    </vt:vector>
  </TitlesOfParts>
  <Company>Финансовое Управление</Company>
  <LinksUpToDate>false</LinksUpToDate>
  <CharactersWithSpaces>12759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Брянской  области</dc:title>
  <dc:creator>Боровикова Елена Михайловна</dc:creator>
  <cp:lastModifiedBy>Бабась А.А.</cp:lastModifiedBy>
  <cp:revision>11</cp:revision>
  <cp:lastPrinted>2024-03-19T08:39:00Z</cp:lastPrinted>
  <dcterms:created xsi:type="dcterms:W3CDTF">2023-12-21T07:40:00Z</dcterms:created>
  <dcterms:modified xsi:type="dcterms:W3CDTF">2024-03-19T08:39:00Z</dcterms:modified>
</cp:coreProperties>
</file>