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CB" w:rsidRDefault="000E18CB" w:rsidP="000E18CB">
      <w:pPr>
        <w:pStyle w:val="ConsPlusNormal"/>
        <w:jc w:val="right"/>
        <w:outlineLvl w:val="0"/>
      </w:pPr>
      <w:r>
        <w:t>Приложение 5</w:t>
      </w:r>
    </w:p>
    <w:p w:rsidR="000E18CB" w:rsidRDefault="000E18CB" w:rsidP="000E18CB">
      <w:pPr>
        <w:pStyle w:val="ConsPlusNormal"/>
        <w:jc w:val="right"/>
      </w:pPr>
      <w:r>
        <w:t>к Закону Брянской области</w:t>
      </w:r>
    </w:p>
    <w:p w:rsidR="000E18CB" w:rsidRDefault="000E18CB" w:rsidP="000E18CB">
      <w:pPr>
        <w:pStyle w:val="ConsPlusNormal"/>
        <w:jc w:val="right"/>
      </w:pPr>
      <w:r>
        <w:t>"О межбюджетных отношениях</w:t>
      </w:r>
    </w:p>
    <w:p w:rsidR="000E18CB" w:rsidRDefault="000E18CB" w:rsidP="000E18CB">
      <w:pPr>
        <w:pStyle w:val="ConsPlusNormal"/>
        <w:jc w:val="right"/>
      </w:pPr>
      <w:r>
        <w:t>в Брянской области"</w:t>
      </w:r>
    </w:p>
    <w:p w:rsidR="000E18CB" w:rsidRDefault="000E18CB" w:rsidP="000E18CB">
      <w:pPr>
        <w:pStyle w:val="ConsPlusNormal"/>
        <w:jc w:val="right"/>
      </w:pPr>
    </w:p>
    <w:p w:rsidR="000E18CB" w:rsidRDefault="000E18CB" w:rsidP="000E18CB">
      <w:pPr>
        <w:pStyle w:val="ConsPlusTitle"/>
        <w:jc w:val="center"/>
      </w:pPr>
      <w:bookmarkStart w:id="0" w:name="P764"/>
      <w:bookmarkEnd w:id="0"/>
      <w:r>
        <w:t>ПОРЯДОК И МЕТОДИКА</w:t>
      </w:r>
    </w:p>
    <w:p w:rsidR="000E18CB" w:rsidRDefault="000E18CB" w:rsidP="000E18CB">
      <w:pPr>
        <w:pStyle w:val="ConsPlusTitle"/>
        <w:jc w:val="center"/>
      </w:pPr>
      <w:r>
        <w:t>РАСПРЕДЕЛЕНИЯ СУБВЕНЦИЙ БЮДЖЕТАМ МУНИЦИПАЛЬНЫХ РАЙОНОВ</w:t>
      </w:r>
    </w:p>
    <w:p w:rsidR="000E18CB" w:rsidRDefault="000E18CB" w:rsidP="000E18CB">
      <w:pPr>
        <w:pStyle w:val="ConsPlusTitle"/>
        <w:jc w:val="center"/>
      </w:pPr>
      <w:r>
        <w:t>НА ВЫРАВНИВАНИЕ БЮДЖЕТНОЙ ОБЕСПЕЧЕННОСТИ ПОСЕЛЕНИЙ</w:t>
      </w:r>
    </w:p>
    <w:p w:rsidR="000E18CB" w:rsidRDefault="000E18CB" w:rsidP="000E18CB">
      <w:pPr>
        <w:pStyle w:val="ConsPlusNormal"/>
        <w:jc w:val="center"/>
      </w:pPr>
    </w:p>
    <w:p w:rsidR="000E18CB" w:rsidRDefault="000E18CB" w:rsidP="000E18CB">
      <w:pPr>
        <w:pStyle w:val="ConsPlusNormal"/>
        <w:ind w:firstLine="540"/>
        <w:jc w:val="both"/>
      </w:pPr>
      <w:r>
        <w:t>Объем субвенции бюджету муниципального района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рассчитывается по следующей формуле:</w:t>
      </w:r>
    </w:p>
    <w:p w:rsidR="000E18CB" w:rsidRDefault="000E18CB" w:rsidP="000E18CB">
      <w:pPr>
        <w:pStyle w:val="ConsPlusNormal"/>
        <w:ind w:firstLine="540"/>
        <w:jc w:val="both"/>
      </w:pPr>
    </w:p>
    <w:p w:rsidR="000E18CB" w:rsidRDefault="000E18CB" w:rsidP="000E18CB">
      <w:pPr>
        <w:pStyle w:val="ConsPlusNormal"/>
        <w:jc w:val="center"/>
      </w:pPr>
      <w:proofErr w:type="spellStart"/>
      <w:r>
        <w:t>Сi</w:t>
      </w:r>
      <w:proofErr w:type="spellEnd"/>
      <w:r>
        <w:t xml:space="preserve">(МР) = </w:t>
      </w:r>
      <w:proofErr w:type="gramStart"/>
      <w:r>
        <w:t>С(</w:t>
      </w:r>
      <w:proofErr w:type="gramEnd"/>
      <w:r>
        <w:t xml:space="preserve">МР) x </w:t>
      </w:r>
      <w:proofErr w:type="spellStart"/>
      <w:r>
        <w:t>Нi</w:t>
      </w:r>
      <w:proofErr w:type="spellEnd"/>
      <w:r>
        <w:t xml:space="preserve"> / Н, где:</w:t>
      </w:r>
    </w:p>
    <w:p w:rsidR="000E18CB" w:rsidRDefault="000E18CB" w:rsidP="000E18CB">
      <w:pPr>
        <w:pStyle w:val="ConsPlusNormal"/>
        <w:ind w:firstLine="540"/>
        <w:jc w:val="both"/>
      </w:pPr>
    </w:p>
    <w:p w:rsidR="000E18CB" w:rsidRDefault="000E18CB" w:rsidP="000E18CB">
      <w:pPr>
        <w:pStyle w:val="ConsPlusNormal"/>
        <w:ind w:firstLine="540"/>
        <w:jc w:val="both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>(МР) - расчетный размер субвенции i-</w:t>
      </w:r>
      <w:proofErr w:type="spellStart"/>
      <w:r>
        <w:t>му</w:t>
      </w:r>
      <w:proofErr w:type="spellEnd"/>
      <w:r>
        <w:t xml:space="preserve"> муниципальному району;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proofErr w:type="gramStart"/>
      <w:r>
        <w:t>С(</w:t>
      </w:r>
      <w:proofErr w:type="gramEnd"/>
      <w:r>
        <w:t>МР) - общий объем субвенций муниципальным районам на предоставление дотаций поселениям;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proofErr w:type="spellStart"/>
      <w:r>
        <w:t>Нi</w:t>
      </w:r>
      <w:proofErr w:type="spellEnd"/>
      <w:r>
        <w:t xml:space="preserve"> - численность постоянного населения i-</w:t>
      </w:r>
      <w:proofErr w:type="spellStart"/>
      <w:r>
        <w:t>го</w:t>
      </w:r>
      <w:proofErr w:type="spellEnd"/>
      <w:r>
        <w:t xml:space="preserve"> муниципального района на начало года, следующего за </w:t>
      </w:r>
      <w:proofErr w:type="gramStart"/>
      <w:r>
        <w:t>отчетным</w:t>
      </w:r>
      <w:proofErr w:type="gramEnd"/>
      <w:r>
        <w:t>;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r>
        <w:t xml:space="preserve">Н - численность постоянного населения всех муниципальных районов на начало года, следующего за </w:t>
      </w:r>
      <w:proofErr w:type="gramStart"/>
      <w:r>
        <w:t>отчетным</w:t>
      </w:r>
      <w:proofErr w:type="gramEnd"/>
      <w:r>
        <w:t>.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r>
        <w:t>Субвенции носят целевой характер.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r>
        <w:t>В случае использования средств областного бюджета не по целевому назначению соответствующие средства субвенций взыскиваются в областной бюджет в порядке, установленном законодательством Российской Федерации.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r>
        <w:t>Перечисление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0E18CB" w:rsidRDefault="000E18CB" w:rsidP="000E18CB">
      <w:pPr>
        <w:pStyle w:val="ConsPlusNormal"/>
        <w:spacing w:before="220"/>
        <w:ind w:firstLine="540"/>
        <w:jc w:val="both"/>
      </w:pPr>
      <w:r>
        <w:t>Не использованные по состоянию на 1 января очередного финансового года остатки целевых средств подлежат возврату в областной бюджет.</w:t>
      </w:r>
    </w:p>
    <w:p w:rsidR="00D36630" w:rsidRDefault="00D36630">
      <w:bookmarkStart w:id="1" w:name="_GoBack"/>
      <w:bookmarkEnd w:id="1"/>
    </w:p>
    <w:sectPr w:rsidR="00D3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CB"/>
    <w:rsid w:val="000E18CB"/>
    <w:rsid w:val="00D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</dc:creator>
  <cp:lastModifiedBy>Кураленко</cp:lastModifiedBy>
  <cp:revision>1</cp:revision>
  <dcterms:created xsi:type="dcterms:W3CDTF">2020-10-23T09:20:00Z</dcterms:created>
  <dcterms:modified xsi:type="dcterms:W3CDTF">2020-10-23T09:21:00Z</dcterms:modified>
</cp:coreProperties>
</file>