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5A" w:rsidRDefault="009C635A" w:rsidP="009C635A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</w:t>
      </w:r>
    </w:p>
    <w:p w:rsidR="009C635A" w:rsidRDefault="009C635A" w:rsidP="009C635A">
      <w:pPr>
        <w:jc w:val="center"/>
        <w:rPr>
          <w:b/>
        </w:rPr>
      </w:pPr>
      <w:r>
        <w:rPr>
          <w:b/>
        </w:rPr>
        <w:t>по объединению муниципальных образований Брянской области</w:t>
      </w:r>
    </w:p>
    <w:p w:rsidR="009C635A" w:rsidRDefault="009C635A" w:rsidP="009C635A">
      <w:pPr>
        <w:jc w:val="center"/>
        <w:rPr>
          <w:b/>
        </w:rPr>
      </w:pPr>
      <w:r>
        <w:rPr>
          <w:b/>
        </w:rPr>
        <w:t xml:space="preserve">для выступления на совещании об итогах исполнения консолидированного бюджета Брянской области в 2018 году и </w:t>
      </w:r>
    </w:p>
    <w:p w:rsidR="009C635A" w:rsidRDefault="009C635A" w:rsidP="009C635A">
      <w:pPr>
        <w:jc w:val="center"/>
        <w:rPr>
          <w:b/>
        </w:rPr>
      </w:pPr>
      <w:proofErr w:type="gramStart"/>
      <w:r>
        <w:rPr>
          <w:b/>
        </w:rPr>
        <w:t>задачах</w:t>
      </w:r>
      <w:proofErr w:type="gramEnd"/>
      <w:r>
        <w:rPr>
          <w:b/>
        </w:rPr>
        <w:t xml:space="preserve"> на 2019 и на плановый период 2020 и 2021 годов</w:t>
      </w:r>
    </w:p>
    <w:p w:rsidR="00EE0240" w:rsidRDefault="00EE0240" w:rsidP="009C635A">
      <w:pPr>
        <w:jc w:val="center"/>
        <w:rPr>
          <w:b/>
        </w:rPr>
      </w:pPr>
    </w:p>
    <w:p w:rsidR="009C635A" w:rsidRDefault="009C635A" w:rsidP="009C635A">
      <w:pPr>
        <w:shd w:val="clear" w:color="auto" w:fill="FFFFFF"/>
        <w:spacing w:before="317" w:line="317" w:lineRule="exact"/>
        <w:ind w:left="79" w:right="7" w:firstLine="698"/>
      </w:pPr>
      <w:r>
        <w:t xml:space="preserve">В настоящее время в Брянской области 289 муниципальных образований, </w:t>
      </w:r>
      <w:r>
        <w:rPr>
          <w:spacing w:val="-1"/>
        </w:rPr>
        <w:t xml:space="preserve">в том числе городских округов - 6, муниципальных районов - 27, городских </w:t>
      </w:r>
      <w:r>
        <w:t>поселений - 30, сельских поселений - 226.</w:t>
      </w:r>
    </w:p>
    <w:p w:rsidR="009C635A" w:rsidRDefault="009C635A" w:rsidP="009C635A">
      <w:pPr>
        <w:shd w:val="clear" w:color="auto" w:fill="FFFFFF"/>
        <w:spacing w:line="317" w:lineRule="exact"/>
        <w:ind w:left="58" w:firstLine="706"/>
      </w:pPr>
      <w:r>
        <w:t xml:space="preserve">Изначально при подготовке к реализации на территории Брянской </w:t>
      </w:r>
      <w:r>
        <w:rPr>
          <w:spacing w:val="-1"/>
        </w:rPr>
        <w:t xml:space="preserve">области Федерального закона от 06.10.2003 №131-Ф3 процесс формирования органов местного самоуправления поселений и установления их границ на территориях различных районов области проходил неоднородно. </w:t>
      </w:r>
      <w:proofErr w:type="gramStart"/>
      <w:r>
        <w:rPr>
          <w:spacing w:val="-1"/>
        </w:rPr>
        <w:t xml:space="preserve">В результате применения дифференцированных подходов на территориях районов было </w:t>
      </w:r>
      <w:r>
        <w:t xml:space="preserve">сформировано весьма различное количество поселений, например, в таких районах, как </w:t>
      </w:r>
      <w:proofErr w:type="spellStart"/>
      <w:r>
        <w:t>Трубчевский</w:t>
      </w:r>
      <w:proofErr w:type="spellEnd"/>
      <w:r>
        <w:t xml:space="preserve"> (с численностью 35,3 тыс. человек), </w:t>
      </w:r>
      <w:proofErr w:type="spellStart"/>
      <w:r>
        <w:t>Карачевский</w:t>
      </w:r>
      <w:proofErr w:type="spellEnd"/>
      <w:r>
        <w:t xml:space="preserve"> (33,9 тыс. человек) создано по 8 поселений, а в Климовском (27,7 тыс. человек) и </w:t>
      </w:r>
      <w:proofErr w:type="spellStart"/>
      <w:r>
        <w:t>Погарском</w:t>
      </w:r>
      <w:proofErr w:type="spellEnd"/>
      <w:r>
        <w:t xml:space="preserve"> (25,8 тыс. человек)- по 15 поселений, </w:t>
      </w:r>
      <w:proofErr w:type="spellStart"/>
      <w:r>
        <w:t>Почепском</w:t>
      </w:r>
      <w:proofErr w:type="spellEnd"/>
      <w:r>
        <w:t xml:space="preserve"> (39,6 тыс. человек) - 19 поселений, с соответствующими расходами на содержание органов местного</w:t>
      </w:r>
      <w:proofErr w:type="gramEnd"/>
      <w:r>
        <w:t xml:space="preserve"> самоуправления.</w:t>
      </w:r>
    </w:p>
    <w:p w:rsidR="009C635A" w:rsidRDefault="009C635A" w:rsidP="009C635A">
      <w:pPr>
        <w:shd w:val="clear" w:color="auto" w:fill="FFFFFF"/>
        <w:spacing w:line="317" w:lineRule="exact"/>
        <w:ind w:left="58" w:firstLine="706"/>
      </w:pPr>
      <w:r>
        <w:t>В конце 2018 – начале 2019 гг. по инициативе ряда районов в регионе начался процесс объединения муниципальных образований. Он идет по двум направлениям:</w:t>
      </w:r>
    </w:p>
    <w:p w:rsidR="009C635A" w:rsidRDefault="009C635A" w:rsidP="009C635A">
      <w:pPr>
        <w:pStyle w:val="a3"/>
        <w:numPr>
          <w:ilvl w:val="0"/>
          <w:numId w:val="2"/>
        </w:numPr>
        <w:shd w:val="clear" w:color="auto" w:fill="FFFFFF"/>
        <w:spacing w:line="317" w:lineRule="exact"/>
        <w:ind w:left="0" w:firstLine="709"/>
        <w:jc w:val="both"/>
      </w:pPr>
      <w:r>
        <w:t xml:space="preserve">Создание укрупненного Новозыбковского городского округа, путем присоединения к нему 8 сельских поселений Новозыбковского района. </w:t>
      </w:r>
    </w:p>
    <w:p w:rsidR="009C635A" w:rsidRDefault="009C635A" w:rsidP="009C635A">
      <w:pPr>
        <w:pStyle w:val="a3"/>
        <w:numPr>
          <w:ilvl w:val="0"/>
          <w:numId w:val="2"/>
        </w:numPr>
        <w:ind w:left="0" w:firstLine="709"/>
        <w:jc w:val="both"/>
      </w:pPr>
      <w:r w:rsidRPr="00335F46">
        <w:t xml:space="preserve">Укрупнение сельских поселений в </w:t>
      </w:r>
      <w:proofErr w:type="spellStart"/>
      <w:r w:rsidRPr="00335F46">
        <w:t>Выгоничском</w:t>
      </w:r>
      <w:proofErr w:type="spellEnd"/>
      <w:r w:rsidRPr="00335F46">
        <w:t xml:space="preserve">, </w:t>
      </w:r>
      <w:proofErr w:type="spellStart"/>
      <w:r w:rsidRPr="00335F46">
        <w:t>Мглинском</w:t>
      </w:r>
      <w:proofErr w:type="spellEnd"/>
      <w:r w:rsidRPr="00335F46">
        <w:t xml:space="preserve">, </w:t>
      </w:r>
      <w:proofErr w:type="spellStart"/>
      <w:r w:rsidRPr="00335F46">
        <w:t>Навлинском</w:t>
      </w:r>
      <w:proofErr w:type="spellEnd"/>
      <w:r w:rsidRPr="00335F46">
        <w:t xml:space="preserve">, </w:t>
      </w:r>
      <w:proofErr w:type="spellStart"/>
      <w:r w:rsidRPr="00335F46">
        <w:t>Погарском</w:t>
      </w:r>
      <w:proofErr w:type="spellEnd"/>
      <w:r w:rsidRPr="00335F46">
        <w:t xml:space="preserve">, </w:t>
      </w:r>
      <w:proofErr w:type="spellStart"/>
      <w:r w:rsidRPr="00335F46">
        <w:t>Почепском</w:t>
      </w:r>
      <w:proofErr w:type="spellEnd"/>
      <w:r w:rsidRPr="00335F46">
        <w:t xml:space="preserve"> и  Стародубском районах.</w:t>
      </w:r>
    </w:p>
    <w:p w:rsidR="00C41F18" w:rsidRPr="00335F46" w:rsidRDefault="00C41F18" w:rsidP="00C41F18">
      <w:pPr>
        <w:ind w:firstLine="709"/>
      </w:pPr>
      <w:r>
        <w:t xml:space="preserve">Необходимо отметить, что изначально согласно предложениям, полученным  от глав, объединение муниципальных образований в регионе  предполагалось в более крупном масштабе. Однако впоследствии руководство ряда районов отказалось от укрупнения сельских поселений. Соответствующие письма департамент внутренней политики получил от глав администраций </w:t>
      </w:r>
      <w:proofErr w:type="spellStart"/>
      <w:r w:rsidR="00424C60">
        <w:t>Дятьковского</w:t>
      </w:r>
      <w:proofErr w:type="spellEnd"/>
      <w:r w:rsidR="00424C60">
        <w:t xml:space="preserve">, Жуковского, Климовского, </w:t>
      </w:r>
      <w:proofErr w:type="spellStart"/>
      <w:r w:rsidR="00424C60">
        <w:t>Севского</w:t>
      </w:r>
      <w:proofErr w:type="spellEnd"/>
      <w:r w:rsidR="00424C60">
        <w:t xml:space="preserve">, </w:t>
      </w:r>
      <w:proofErr w:type="spellStart"/>
      <w:r w:rsidR="00424C60">
        <w:t>Суражского</w:t>
      </w:r>
      <w:proofErr w:type="spellEnd"/>
      <w:r w:rsidR="00424C60">
        <w:t xml:space="preserve"> районов.</w:t>
      </w:r>
    </w:p>
    <w:p w:rsidR="009C635A" w:rsidRDefault="009C635A" w:rsidP="009C635A">
      <w:pPr>
        <w:ind w:firstLine="709"/>
        <w:rPr>
          <w:rFonts w:eastAsia="Times New Roman"/>
          <w:u w:val="single"/>
          <w:shd w:val="clear" w:color="auto" w:fill="FFFFFF"/>
        </w:rPr>
      </w:pPr>
      <w:r w:rsidRPr="00394E47">
        <w:rPr>
          <w:rFonts w:eastAsia="Times New Roman"/>
          <w:u w:val="single"/>
          <w:shd w:val="clear" w:color="auto" w:fill="FFFFFF"/>
        </w:rPr>
        <w:t>Создание укрупненного Новозыбковского городского округа</w:t>
      </w:r>
      <w:r>
        <w:rPr>
          <w:rFonts w:eastAsia="Times New Roman"/>
          <w:u w:val="single"/>
          <w:shd w:val="clear" w:color="auto" w:fill="FFFFFF"/>
        </w:rPr>
        <w:t>.</w:t>
      </w:r>
    </w:p>
    <w:p w:rsidR="009C635A" w:rsidRDefault="009C635A" w:rsidP="009C635A">
      <w:pPr>
        <w:ind w:firstLine="709"/>
        <w:rPr>
          <w:rFonts w:eastAsia="Times New Roman"/>
          <w:shd w:val="clear" w:color="auto" w:fill="FFFFFF"/>
        </w:rPr>
      </w:pPr>
      <w:r w:rsidRPr="00394E47">
        <w:rPr>
          <w:rFonts w:eastAsia="Times New Roman"/>
          <w:shd w:val="clear" w:color="auto" w:fill="FFFFFF"/>
        </w:rPr>
        <w:t>По состоянию на отчетную дату необходимые решени</w:t>
      </w:r>
      <w:r>
        <w:rPr>
          <w:rFonts w:eastAsia="Times New Roman"/>
          <w:shd w:val="clear" w:color="auto" w:fill="FFFFFF"/>
        </w:rPr>
        <w:t xml:space="preserve">я по объединению с </w:t>
      </w:r>
      <w:proofErr w:type="spellStart"/>
      <w:r>
        <w:rPr>
          <w:rFonts w:eastAsia="Times New Roman"/>
          <w:shd w:val="clear" w:color="auto" w:fill="FFFFFF"/>
        </w:rPr>
        <w:t>Новозыбковским</w:t>
      </w:r>
      <w:proofErr w:type="spellEnd"/>
      <w:r>
        <w:rPr>
          <w:rFonts w:eastAsia="Times New Roman"/>
          <w:shd w:val="clear" w:color="auto" w:fill="FFFFFF"/>
        </w:rPr>
        <w:t xml:space="preserve"> городским округом приняты всеми 8 сельскими поселениями, </w:t>
      </w:r>
      <w:proofErr w:type="spellStart"/>
      <w:r>
        <w:rPr>
          <w:rFonts w:eastAsia="Times New Roman"/>
          <w:shd w:val="clear" w:color="auto" w:fill="FFFFFF"/>
        </w:rPr>
        <w:t>Новозыбковским</w:t>
      </w:r>
      <w:proofErr w:type="spellEnd"/>
      <w:r>
        <w:rPr>
          <w:rFonts w:eastAsia="Times New Roman"/>
          <w:shd w:val="clear" w:color="auto" w:fill="FFFFFF"/>
        </w:rPr>
        <w:t xml:space="preserve"> районным Советом народных депутатов, Советом народных депутатов г. Новозыбкова. 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1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закона Брянской области «</w:t>
      </w:r>
      <w:r w:rsidRPr="00A3451A">
        <w:rPr>
          <w:rFonts w:ascii="Times New Roman" w:hAnsi="Times New Roman" w:cs="Times New Roman"/>
          <w:sz w:val="28"/>
          <w:szCs w:val="28"/>
        </w:rPr>
        <w:t xml:space="preserve">Об объединении муниципальных образований, входящих в состав Новозыбковского муниципального района Брянской области, с муниципальным образованием города Новозыбков   и внесении изменений в отдельные законодательные акты Брянской области», принят Брянской областной Думы 28 марта 2019 года. </w:t>
      </w:r>
    </w:p>
    <w:p w:rsidR="009C635A" w:rsidRPr="008103DC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Законом предусматривается объединение муниципальных образований с 10 июня 2019 года. </w:t>
      </w:r>
      <w:r w:rsidRPr="001762FB">
        <w:rPr>
          <w:rFonts w:ascii="Times New Roman" w:hAnsi="Times New Roman" w:cs="Times New Roman"/>
          <w:spacing w:val="2"/>
          <w:sz w:val="28"/>
          <w:szCs w:val="28"/>
        </w:rPr>
        <w:t xml:space="preserve">Сельские поселения, объединенные с </w:t>
      </w:r>
      <w:proofErr w:type="spellStart"/>
      <w:r w:rsidRPr="001762FB">
        <w:rPr>
          <w:rFonts w:ascii="Times New Roman" w:hAnsi="Times New Roman" w:cs="Times New Roman"/>
          <w:spacing w:val="2"/>
          <w:sz w:val="28"/>
          <w:szCs w:val="28"/>
        </w:rPr>
        <w:lastRenderedPageBreak/>
        <w:t>Новозыбковским</w:t>
      </w:r>
      <w:proofErr w:type="spellEnd"/>
      <w:r w:rsidRPr="001762FB">
        <w:rPr>
          <w:rFonts w:ascii="Times New Roman" w:hAnsi="Times New Roman" w:cs="Times New Roman"/>
          <w:spacing w:val="2"/>
          <w:sz w:val="28"/>
          <w:szCs w:val="28"/>
        </w:rPr>
        <w:t xml:space="preserve"> городским округом, Новозыбковский муниципальный район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762FB">
        <w:rPr>
          <w:rFonts w:ascii="Times New Roman" w:hAnsi="Times New Roman" w:cs="Times New Roman"/>
          <w:spacing w:val="2"/>
          <w:sz w:val="28"/>
          <w:szCs w:val="28"/>
        </w:rPr>
        <w:t xml:space="preserve"> утрачивают статус муниципальных образований с 10 июня 2019 года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 силу положений пункта 3.1 статьи 13 Федерального закона  от </w:t>
      </w:r>
      <w:r w:rsidRPr="004C79E2">
        <w:rPr>
          <w:rFonts w:ascii="Times New Roman" w:hAnsi="Times New Roman" w:cs="Times New Roman"/>
          <w:spacing w:val="2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</w:t>
      </w:r>
      <w:r w:rsidRPr="004C79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3DC" w:rsidRPr="008103DC" w:rsidRDefault="008103DC" w:rsidP="009C6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дата о</w:t>
      </w:r>
      <w:r w:rsidR="00E1456E">
        <w:rPr>
          <w:rFonts w:ascii="Times New Roman" w:hAnsi="Times New Roman" w:cs="Times New Roman"/>
          <w:sz w:val="28"/>
          <w:szCs w:val="28"/>
        </w:rPr>
        <w:t>бусловлена следующим. П</w:t>
      </w:r>
      <w:r>
        <w:rPr>
          <w:rFonts w:ascii="Times New Roman" w:hAnsi="Times New Roman" w:cs="Times New Roman"/>
          <w:sz w:val="28"/>
          <w:szCs w:val="28"/>
        </w:rPr>
        <w:t xml:space="preserve">ри объединении </w:t>
      </w:r>
      <w:r w:rsidR="00E145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г. Новозыбкова и района численность избирателей городского округа увеличивается на 25,</w:t>
      </w:r>
      <w:r w:rsidR="006276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="00FA11BE">
        <w:rPr>
          <w:rFonts w:ascii="Times New Roman" w:hAnsi="Times New Roman" w:cs="Times New Roman"/>
          <w:sz w:val="28"/>
          <w:szCs w:val="28"/>
        </w:rPr>
        <w:t xml:space="preserve"> (</w:t>
      </w:r>
      <w:r w:rsidR="00B05D44">
        <w:rPr>
          <w:rFonts w:ascii="Times New Roman" w:hAnsi="Times New Roman" w:cs="Times New Roman"/>
          <w:sz w:val="28"/>
          <w:szCs w:val="28"/>
        </w:rPr>
        <w:t>г. Новозыбков – 32960 чел., Новозыбковский район - 8491 чел.</w:t>
      </w:r>
      <w:r w:rsidR="00FA11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11B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увеличение численности избирателей</w:t>
      </w:r>
      <w:r w:rsidR="00E145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более чем на 25% влечет досрочное прекращение полномочий представительного органа.</w:t>
      </w:r>
      <w:r w:rsidR="0062764A">
        <w:rPr>
          <w:rFonts w:ascii="Times New Roman" w:hAnsi="Times New Roman" w:cs="Times New Roman"/>
          <w:sz w:val="28"/>
          <w:szCs w:val="28"/>
        </w:rPr>
        <w:t xml:space="preserve"> Чтобы избежать</w:t>
      </w:r>
      <w:r w:rsidR="0083155F">
        <w:rPr>
          <w:rFonts w:ascii="Times New Roman" w:hAnsi="Times New Roman" w:cs="Times New Roman"/>
          <w:sz w:val="28"/>
          <w:szCs w:val="28"/>
        </w:rPr>
        <w:t xml:space="preserve"> досрочного</w:t>
      </w:r>
      <w:r w:rsidR="0062764A">
        <w:rPr>
          <w:rFonts w:ascii="Times New Roman" w:hAnsi="Times New Roman" w:cs="Times New Roman"/>
          <w:sz w:val="28"/>
          <w:szCs w:val="28"/>
        </w:rPr>
        <w:t xml:space="preserve"> роспуска Совета народных депутатов</w:t>
      </w:r>
      <w:r w:rsidR="008315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764A">
        <w:rPr>
          <w:rFonts w:ascii="Times New Roman" w:hAnsi="Times New Roman" w:cs="Times New Roman"/>
          <w:sz w:val="28"/>
          <w:szCs w:val="28"/>
        </w:rPr>
        <w:t xml:space="preserve">г. Новозыбкова установлен срок объединения с 10 июня. За это время Советом будут внесены необходимые изменения в Устав городского округа, утверждена новая структура городской администрации, а также </w:t>
      </w:r>
      <w:r w:rsidR="00427859">
        <w:rPr>
          <w:rFonts w:ascii="Times New Roman" w:hAnsi="Times New Roman" w:cs="Times New Roman"/>
          <w:sz w:val="28"/>
          <w:szCs w:val="28"/>
        </w:rPr>
        <w:t>схема одномандатных избирательных округов по выборам депутатов городского Совета.</w:t>
      </w:r>
      <w:r w:rsidR="000652B8">
        <w:rPr>
          <w:rFonts w:ascii="Times New Roman" w:hAnsi="Times New Roman" w:cs="Times New Roman"/>
          <w:sz w:val="28"/>
          <w:szCs w:val="28"/>
        </w:rPr>
        <w:t xml:space="preserve"> Выборы депутатов будут назначены в соответствии с действующим законодательством в период с 16 по 26 июня.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Согласно закону </w:t>
      </w:r>
      <w:r w:rsidRPr="00BC07A6">
        <w:rPr>
          <w:rFonts w:ascii="Times New Roman" w:hAnsi="Times New Roman" w:cs="Times New Roman"/>
          <w:spacing w:val="2"/>
          <w:sz w:val="28"/>
          <w:szCs w:val="28"/>
        </w:rPr>
        <w:t>Новозыбковский городской округ является правопреемником сельских поселений и Новозыбковского муниципального района.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Также проектом регламентируются: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порядок передачи имущества между муниципальными образованиями;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межбюджетные отношения на 2019 год;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приведение в соответствие устава и иных нормативно-правовых актов городского округа.</w:t>
      </w:r>
    </w:p>
    <w:p w:rsidR="009C635A" w:rsidRPr="001762FB" w:rsidRDefault="009C635A" w:rsidP="009C635A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Законом установлено, что с</w:t>
      </w:r>
      <w:r w:rsidRPr="001762FB">
        <w:rPr>
          <w:spacing w:val="3"/>
          <w:sz w:val="28"/>
          <w:szCs w:val="28"/>
        </w:rPr>
        <w:t>о дня</w:t>
      </w:r>
      <w:r>
        <w:rPr>
          <w:spacing w:val="3"/>
          <w:sz w:val="28"/>
          <w:szCs w:val="28"/>
        </w:rPr>
        <w:t xml:space="preserve"> его</w:t>
      </w:r>
      <w:r w:rsidRPr="001762FB">
        <w:rPr>
          <w:spacing w:val="3"/>
          <w:sz w:val="28"/>
          <w:szCs w:val="28"/>
        </w:rPr>
        <w:t xml:space="preserve"> вступления в силу полномочия, связанные с внесением изменений в решения о местных бюджетах сельских поселений, </w:t>
      </w:r>
      <w:r w:rsidRPr="001762FB">
        <w:rPr>
          <w:spacing w:val="2"/>
          <w:sz w:val="28"/>
          <w:szCs w:val="28"/>
        </w:rPr>
        <w:t xml:space="preserve">объединяемых с </w:t>
      </w:r>
      <w:proofErr w:type="spellStart"/>
      <w:r w:rsidRPr="001762FB">
        <w:rPr>
          <w:spacing w:val="3"/>
          <w:sz w:val="28"/>
          <w:szCs w:val="28"/>
        </w:rPr>
        <w:t>Новозыбковским</w:t>
      </w:r>
      <w:proofErr w:type="spellEnd"/>
      <w:r w:rsidRPr="001762FB">
        <w:rPr>
          <w:spacing w:val="3"/>
          <w:sz w:val="28"/>
          <w:szCs w:val="28"/>
        </w:rPr>
        <w:t xml:space="preserve"> городским округом</w:t>
      </w:r>
      <w:r w:rsidRPr="001762FB">
        <w:rPr>
          <w:spacing w:val="2"/>
          <w:sz w:val="28"/>
          <w:szCs w:val="28"/>
        </w:rPr>
        <w:t xml:space="preserve">, </w:t>
      </w:r>
      <w:r w:rsidRPr="001762FB">
        <w:rPr>
          <w:spacing w:val="3"/>
          <w:sz w:val="28"/>
          <w:szCs w:val="28"/>
        </w:rPr>
        <w:t xml:space="preserve">Новозыбковского муниципального района на 2019 год </w:t>
      </w:r>
      <w:r>
        <w:rPr>
          <w:spacing w:val="3"/>
          <w:sz w:val="28"/>
          <w:szCs w:val="28"/>
        </w:rPr>
        <w:t>и</w:t>
      </w:r>
      <w:r w:rsidRPr="001762FB">
        <w:rPr>
          <w:spacing w:val="3"/>
          <w:sz w:val="28"/>
          <w:szCs w:val="28"/>
        </w:rPr>
        <w:t xml:space="preserve"> их исполнением до конца 2019 года, осуществляют органы местного самоуправления Новозыбковского городского округа раздельно по каждому из объединяемых сельских поселений и </w:t>
      </w:r>
      <w:proofErr w:type="spellStart"/>
      <w:r w:rsidRPr="001762FB">
        <w:rPr>
          <w:spacing w:val="3"/>
          <w:sz w:val="28"/>
          <w:szCs w:val="28"/>
        </w:rPr>
        <w:t>Новозыбковскому</w:t>
      </w:r>
      <w:proofErr w:type="spellEnd"/>
      <w:r w:rsidRPr="001762FB">
        <w:rPr>
          <w:spacing w:val="3"/>
          <w:sz w:val="28"/>
          <w:szCs w:val="28"/>
        </w:rPr>
        <w:t xml:space="preserve"> муниципальному району в соответствии с</w:t>
      </w:r>
      <w:proofErr w:type="gramEnd"/>
      <w:r w:rsidRPr="001762FB">
        <w:rPr>
          <w:spacing w:val="3"/>
          <w:sz w:val="28"/>
          <w:szCs w:val="28"/>
        </w:rPr>
        <w:t xml:space="preserve"> бюджетным законодательством Российской Федерации.</w:t>
      </w:r>
    </w:p>
    <w:p w:rsidR="009C635A" w:rsidRDefault="009C635A" w:rsidP="009C63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правоотношения, связанные с объединением муниципальных образований и не регламентируемые законом будут урегулированы муниципальными правовыми актами в срок до 31 декабря 2019 года.</w:t>
      </w:r>
    </w:p>
    <w:p w:rsidR="009C635A" w:rsidRPr="00394E47" w:rsidRDefault="009C635A" w:rsidP="009C635A">
      <w:pPr>
        <w:ind w:firstLine="709"/>
        <w:rPr>
          <w:u w:val="single"/>
        </w:rPr>
      </w:pPr>
      <w:r w:rsidRPr="00394E47">
        <w:rPr>
          <w:u w:val="single"/>
        </w:rPr>
        <w:t xml:space="preserve">Укрупнение сельских поселений в </w:t>
      </w:r>
      <w:proofErr w:type="spellStart"/>
      <w:r w:rsidRPr="00394E47">
        <w:rPr>
          <w:u w:val="single"/>
        </w:rPr>
        <w:t>Выгоничском</w:t>
      </w:r>
      <w:proofErr w:type="spellEnd"/>
      <w:r w:rsidRPr="00394E47">
        <w:rPr>
          <w:u w:val="single"/>
        </w:rPr>
        <w:t xml:space="preserve">, </w:t>
      </w:r>
      <w:proofErr w:type="spellStart"/>
      <w:r w:rsidRPr="00394E47">
        <w:rPr>
          <w:u w:val="single"/>
        </w:rPr>
        <w:t>Мглинском</w:t>
      </w:r>
      <w:proofErr w:type="spellEnd"/>
      <w:r w:rsidRPr="00394E47">
        <w:rPr>
          <w:u w:val="single"/>
        </w:rPr>
        <w:t xml:space="preserve">, </w:t>
      </w:r>
      <w:proofErr w:type="spellStart"/>
      <w:r w:rsidRPr="00394E47">
        <w:rPr>
          <w:u w:val="single"/>
        </w:rPr>
        <w:t>Навлинском</w:t>
      </w:r>
      <w:proofErr w:type="spellEnd"/>
      <w:r w:rsidRPr="00394E47">
        <w:rPr>
          <w:u w:val="single"/>
        </w:rPr>
        <w:t xml:space="preserve">, </w:t>
      </w:r>
      <w:proofErr w:type="spellStart"/>
      <w:r w:rsidRPr="00394E47">
        <w:rPr>
          <w:u w:val="single"/>
        </w:rPr>
        <w:t>Погарском</w:t>
      </w:r>
      <w:proofErr w:type="spellEnd"/>
      <w:r w:rsidRPr="00394E47">
        <w:rPr>
          <w:u w:val="single"/>
        </w:rPr>
        <w:t xml:space="preserve">, </w:t>
      </w:r>
      <w:proofErr w:type="spellStart"/>
      <w:r w:rsidRPr="00394E47">
        <w:rPr>
          <w:u w:val="single"/>
        </w:rPr>
        <w:t>Почепском</w:t>
      </w:r>
      <w:proofErr w:type="spellEnd"/>
      <w:r w:rsidRPr="00394E47">
        <w:rPr>
          <w:u w:val="single"/>
        </w:rPr>
        <w:t xml:space="preserve"> и  Стародубском районах.</w:t>
      </w:r>
    </w:p>
    <w:p w:rsidR="009C635A" w:rsidRDefault="009C635A" w:rsidP="009C635A">
      <w:pPr>
        <w:ind w:firstLine="709"/>
      </w:pPr>
      <w:r>
        <w:t xml:space="preserve">На сегодняшний день приняты все необходимые решения и подготовлены проекты </w:t>
      </w:r>
      <w:proofErr w:type="gramStart"/>
      <w:r>
        <w:t>законов по объединению</w:t>
      </w:r>
      <w:proofErr w:type="gramEnd"/>
      <w:r>
        <w:t xml:space="preserve"> сельских поселений </w:t>
      </w:r>
      <w:proofErr w:type="spellStart"/>
      <w:r>
        <w:t>Выгоничского</w:t>
      </w:r>
      <w:proofErr w:type="spellEnd"/>
      <w:r>
        <w:t xml:space="preserve">, </w:t>
      </w:r>
      <w:proofErr w:type="spellStart"/>
      <w:r>
        <w:t>Мглинского</w:t>
      </w:r>
      <w:proofErr w:type="spellEnd"/>
      <w:r>
        <w:t xml:space="preserve"> и </w:t>
      </w:r>
      <w:proofErr w:type="spellStart"/>
      <w:r>
        <w:t>Навлинского</w:t>
      </w:r>
      <w:proofErr w:type="spellEnd"/>
      <w:r>
        <w:t xml:space="preserve"> районов, которые  в настоящее время проходят процедуру согласования. Их планируется рассмотреть на заседании Брянской областной Думы 25.04.2019.</w:t>
      </w:r>
    </w:p>
    <w:p w:rsidR="009C635A" w:rsidRPr="00704199" w:rsidRDefault="009C635A" w:rsidP="009C635A">
      <w:pPr>
        <w:ind w:firstLine="709"/>
        <w:rPr>
          <w:color w:val="FF0000"/>
        </w:rPr>
      </w:pPr>
      <w:r>
        <w:t xml:space="preserve"> Завершается процесс принятия соответствующих решений в </w:t>
      </w:r>
      <w:proofErr w:type="spellStart"/>
      <w:r>
        <w:t>Погарском</w:t>
      </w:r>
      <w:proofErr w:type="spellEnd"/>
      <w:r>
        <w:t xml:space="preserve"> и Стародубском районах, проекты </w:t>
      </w:r>
      <w:proofErr w:type="gramStart"/>
      <w:r>
        <w:t>законов</w:t>
      </w:r>
      <w:proofErr w:type="gramEnd"/>
      <w:r>
        <w:t xml:space="preserve"> по данным муниципальным образованиям подготовлены, при поступлении от них </w:t>
      </w:r>
      <w:r>
        <w:lastRenderedPageBreak/>
        <w:t xml:space="preserve">полного комплекта документов они также будут направлены на согласование и будут приняты Брянской областной Думой в апреле или мае текущего года. </w:t>
      </w:r>
      <w:r w:rsidRPr="005F29B3">
        <w:t xml:space="preserve">Завершается процесс объединение сельских поселений в </w:t>
      </w:r>
      <w:proofErr w:type="spellStart"/>
      <w:r w:rsidRPr="005F29B3">
        <w:t>Почепском</w:t>
      </w:r>
      <w:proofErr w:type="spellEnd"/>
      <w:r w:rsidRPr="005F29B3">
        <w:t xml:space="preserve"> районе.</w:t>
      </w:r>
    </w:p>
    <w:p w:rsidR="009C635A" w:rsidRDefault="009C635A" w:rsidP="009C635A">
      <w:pPr>
        <w:ind w:firstLine="709"/>
      </w:pPr>
      <w:r>
        <w:t xml:space="preserve">Таким образом, на территории Брянской области планируется сокращение </w:t>
      </w:r>
      <w:r w:rsidRPr="0076758C">
        <w:t>4</w:t>
      </w:r>
      <w:r>
        <w:t>3</w:t>
      </w:r>
      <w:r w:rsidRPr="0076758C">
        <w:t xml:space="preserve"> муниципальных образовани</w:t>
      </w:r>
      <w:r>
        <w:t>й (1 муниципальный район и 42 поселения), 15% от их общего числа. Количество депутатов представительных органов сократится на 351 человека – 10% от общего количества.</w:t>
      </w:r>
    </w:p>
    <w:p w:rsidR="009C635A" w:rsidRDefault="009C635A" w:rsidP="009C635A">
      <w:pPr>
        <w:ind w:firstLine="709"/>
      </w:pPr>
      <w:r>
        <w:t>Таблица по объединению представлена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2240"/>
        <w:gridCol w:w="2393"/>
        <w:gridCol w:w="2393"/>
      </w:tblGrid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04199">
              <w:rPr>
                <w:rFonts w:ascii="Times New Roman" w:hAnsi="Times New Roman" w:cs="Times New Roman"/>
                <w:b/>
                <w:sz w:val="28"/>
              </w:rPr>
              <w:t>пп</w:t>
            </w:r>
            <w:proofErr w:type="spellEnd"/>
          </w:p>
        </w:tc>
        <w:tc>
          <w:tcPr>
            <w:tcW w:w="2240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rFonts w:ascii="Times New Roman" w:hAnsi="Times New Roman" w:cs="Times New Roman"/>
                <w:b/>
                <w:sz w:val="28"/>
              </w:rPr>
              <w:t>Наименование района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rFonts w:ascii="Times New Roman" w:hAnsi="Times New Roman" w:cs="Times New Roman"/>
                <w:b/>
                <w:sz w:val="28"/>
              </w:rPr>
              <w:t>Существующее количество ГП и СП</w:t>
            </w:r>
          </w:p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rFonts w:ascii="Times New Roman" w:hAnsi="Times New Roman" w:cs="Times New Roman"/>
                <w:b/>
                <w:sz w:val="28"/>
              </w:rPr>
              <w:t>Предполагаемое количество ГП и СП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04199">
              <w:rPr>
                <w:rFonts w:ascii="Times New Roman" w:hAnsi="Times New Roman" w:cs="Times New Roman"/>
                <w:sz w:val="28"/>
              </w:rPr>
              <w:t>Выгоничский</w:t>
            </w:r>
            <w:proofErr w:type="spellEnd"/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04199">
              <w:rPr>
                <w:rFonts w:ascii="Times New Roman" w:hAnsi="Times New Roman" w:cs="Times New Roman"/>
                <w:sz w:val="28"/>
              </w:rPr>
              <w:t>Мглинский</w:t>
            </w:r>
            <w:proofErr w:type="spellEnd"/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04199">
              <w:rPr>
                <w:rFonts w:ascii="Times New Roman" w:hAnsi="Times New Roman" w:cs="Times New Roman"/>
                <w:sz w:val="28"/>
              </w:rPr>
              <w:t>Навлинский</w:t>
            </w:r>
            <w:proofErr w:type="spellEnd"/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Новозыбковский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Погарский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9C635A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9C635A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C635A">
              <w:rPr>
                <w:rFonts w:ascii="Times New Roman" w:hAnsi="Times New Roman" w:cs="Times New Roman"/>
                <w:sz w:val="28"/>
              </w:rPr>
              <w:t>Почепский</w:t>
            </w:r>
            <w:proofErr w:type="spellEnd"/>
          </w:p>
        </w:tc>
        <w:tc>
          <w:tcPr>
            <w:tcW w:w="2393" w:type="dxa"/>
          </w:tcPr>
          <w:p w:rsidR="009C635A" w:rsidRPr="009C635A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635A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393" w:type="dxa"/>
          </w:tcPr>
          <w:p w:rsidR="009C635A" w:rsidRPr="009C635A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635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Стародубский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393" w:type="dxa"/>
          </w:tcPr>
          <w:p w:rsidR="009C635A" w:rsidRPr="00704199" w:rsidRDefault="009C635A" w:rsidP="008863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04199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C635A" w:rsidRPr="00704199" w:rsidTr="008863ED">
        <w:tc>
          <w:tcPr>
            <w:tcW w:w="539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0" w:type="dxa"/>
          </w:tcPr>
          <w:p w:rsidR="009C635A" w:rsidRPr="00704199" w:rsidRDefault="009C635A" w:rsidP="008863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393" w:type="dxa"/>
          </w:tcPr>
          <w:p w:rsidR="009C635A" w:rsidRPr="00704199" w:rsidRDefault="00B61233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b/>
              </w:rPr>
              <w:fldChar w:fldCharType="begin"/>
            </w:r>
            <w:r w:rsidR="009C635A" w:rsidRPr="00704199">
              <w:rPr>
                <w:rFonts w:ascii="Times New Roman" w:hAnsi="Times New Roman" w:cs="Times New Roman"/>
                <w:b/>
                <w:sz w:val="28"/>
              </w:rPr>
              <w:instrText xml:space="preserve"> =SUM(ABOVE) </w:instrText>
            </w:r>
            <w:r w:rsidRPr="00704199">
              <w:rPr>
                <w:b/>
              </w:rPr>
              <w:fldChar w:fldCharType="separate"/>
            </w:r>
            <w:r w:rsidR="009C635A" w:rsidRPr="00704199">
              <w:rPr>
                <w:rFonts w:ascii="Times New Roman" w:hAnsi="Times New Roman" w:cs="Times New Roman"/>
                <w:b/>
                <w:noProof/>
                <w:sz w:val="28"/>
              </w:rPr>
              <w:t>88</w:t>
            </w:r>
            <w:r w:rsidRPr="00704199">
              <w:rPr>
                <w:b/>
              </w:rPr>
              <w:fldChar w:fldCharType="end"/>
            </w:r>
          </w:p>
        </w:tc>
        <w:tc>
          <w:tcPr>
            <w:tcW w:w="2393" w:type="dxa"/>
          </w:tcPr>
          <w:p w:rsidR="009C635A" w:rsidRPr="00704199" w:rsidRDefault="00B61233" w:rsidP="008863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4199">
              <w:rPr>
                <w:b/>
              </w:rPr>
              <w:fldChar w:fldCharType="begin"/>
            </w:r>
            <w:r w:rsidR="009C635A" w:rsidRPr="00704199">
              <w:rPr>
                <w:rFonts w:ascii="Times New Roman" w:hAnsi="Times New Roman" w:cs="Times New Roman"/>
                <w:b/>
                <w:sz w:val="28"/>
              </w:rPr>
              <w:instrText xml:space="preserve"> =SUM(ABOVE) </w:instrText>
            </w:r>
            <w:r w:rsidRPr="00704199">
              <w:rPr>
                <w:b/>
              </w:rPr>
              <w:fldChar w:fldCharType="separate"/>
            </w:r>
            <w:r w:rsidR="009C635A" w:rsidRPr="00704199">
              <w:rPr>
                <w:rFonts w:ascii="Times New Roman" w:hAnsi="Times New Roman" w:cs="Times New Roman"/>
                <w:b/>
                <w:noProof/>
                <w:sz w:val="28"/>
              </w:rPr>
              <w:t>46</w:t>
            </w:r>
            <w:r w:rsidRPr="00704199">
              <w:rPr>
                <w:b/>
              </w:rPr>
              <w:fldChar w:fldCharType="end"/>
            </w:r>
          </w:p>
        </w:tc>
      </w:tr>
    </w:tbl>
    <w:p w:rsidR="009C635A" w:rsidRDefault="009C635A" w:rsidP="009C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D7E">
        <w:rPr>
          <w:rFonts w:ascii="Times New Roman" w:hAnsi="Times New Roman" w:cs="Times New Roman"/>
          <w:sz w:val="28"/>
          <w:szCs w:val="28"/>
        </w:rPr>
        <w:t>До формирования органов местного самоуправления вновь образованн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31D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31D7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1D7E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531D7E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31D7E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(т.е. администрации объединяемых поселений продолжают работать вплоть до выборов депутатов представительных органов вновь образованных поселений 8 сентября 2019 года)</w:t>
      </w:r>
      <w:r w:rsidRPr="00531D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635A" w:rsidRDefault="009C635A" w:rsidP="009C635A">
      <w:pPr>
        <w:ind w:firstLine="709"/>
        <w:rPr>
          <w:spacing w:val="2"/>
        </w:rPr>
      </w:pPr>
      <w:r>
        <w:t>Проектами законов устанавливается переходный период до 31 декабря 2019 года, в</w:t>
      </w:r>
      <w:r w:rsidRPr="00C1787A">
        <w:rPr>
          <w:spacing w:val="2"/>
        </w:rPr>
        <w:t xml:space="preserve"> течение </w:t>
      </w:r>
      <w:r>
        <w:rPr>
          <w:spacing w:val="2"/>
        </w:rPr>
        <w:t>которого</w:t>
      </w:r>
      <w:r w:rsidRPr="00C1787A">
        <w:rPr>
          <w:spacing w:val="2"/>
        </w:rPr>
        <w:t xml:space="preserve"> осуществляется формирование органов местного самоуправления вновь образованных муниципальных образований, а </w:t>
      </w:r>
      <w:r w:rsidRPr="00351B66">
        <w:rPr>
          <w:spacing w:val="2"/>
        </w:rPr>
        <w:t>также урегулирование иных вопрос</w:t>
      </w:r>
      <w:r>
        <w:rPr>
          <w:spacing w:val="2"/>
        </w:rPr>
        <w:t xml:space="preserve">ов, связанных с преобразованием, в т.ч. </w:t>
      </w:r>
      <w:r w:rsidRPr="00351B66">
        <w:rPr>
          <w:spacing w:val="2"/>
        </w:rPr>
        <w:t>прин</w:t>
      </w:r>
      <w:r>
        <w:rPr>
          <w:spacing w:val="2"/>
        </w:rPr>
        <w:t>ятие</w:t>
      </w:r>
      <w:r w:rsidRPr="00351B66">
        <w:rPr>
          <w:spacing w:val="2"/>
        </w:rPr>
        <w:t xml:space="preserve"> устав</w:t>
      </w:r>
      <w:r>
        <w:rPr>
          <w:spacing w:val="2"/>
        </w:rPr>
        <w:t>ов и</w:t>
      </w:r>
      <w:r w:rsidRPr="00351B66">
        <w:rPr>
          <w:spacing w:val="2"/>
        </w:rPr>
        <w:t xml:space="preserve"> ины</w:t>
      </w:r>
      <w:r>
        <w:rPr>
          <w:spacing w:val="2"/>
        </w:rPr>
        <w:t>х муниципальных правовых актов.</w:t>
      </w:r>
    </w:p>
    <w:p w:rsidR="009C635A" w:rsidRPr="00351B66" w:rsidRDefault="009C635A" w:rsidP="009C635A">
      <w:pPr>
        <w:ind w:firstLine="709"/>
        <w:rPr>
          <w:spacing w:val="2"/>
        </w:rPr>
      </w:pPr>
      <w:r w:rsidRPr="00351B66">
        <w:rPr>
          <w:spacing w:val="2"/>
        </w:rPr>
        <w:t>Со дня окончания формирования органов местного самоуправления вновь образованных муниципальных образований данные органы до конца 2019 года осуществляют бюджетные полномочия, связанные с исполнением решений о местных бюджетах</w:t>
      </w:r>
      <w:r>
        <w:rPr>
          <w:spacing w:val="2"/>
        </w:rPr>
        <w:t>,</w:t>
      </w:r>
      <w:r w:rsidRPr="00351B66">
        <w:rPr>
          <w:spacing w:val="2"/>
        </w:rPr>
        <w:t xml:space="preserve"> </w:t>
      </w:r>
      <w:r w:rsidRPr="00351B66">
        <w:rPr>
          <w:color w:val="000000"/>
          <w:shd w:val="clear" w:color="auto" w:fill="FFFFFF"/>
        </w:rPr>
        <w:t xml:space="preserve">объединенных </w:t>
      </w:r>
      <w:r>
        <w:rPr>
          <w:color w:val="000000"/>
          <w:shd w:val="clear" w:color="auto" w:fill="FFFFFF"/>
        </w:rPr>
        <w:t xml:space="preserve">поселений </w:t>
      </w:r>
      <w:r w:rsidRPr="00351B66">
        <w:rPr>
          <w:spacing w:val="2"/>
        </w:rPr>
        <w:t xml:space="preserve">раздельно по каждому из </w:t>
      </w:r>
      <w:r w:rsidRPr="00351B66">
        <w:rPr>
          <w:color w:val="000000"/>
          <w:shd w:val="clear" w:color="auto" w:fill="FFFFFF"/>
        </w:rPr>
        <w:t>объединенных</w:t>
      </w:r>
      <w:r w:rsidRPr="00351B66">
        <w:rPr>
          <w:spacing w:val="2"/>
        </w:rPr>
        <w:t xml:space="preserve"> муниципальных образований.</w:t>
      </w:r>
    </w:p>
    <w:p w:rsidR="009C635A" w:rsidRDefault="009C635A" w:rsidP="009C635A">
      <w:pPr>
        <w:ind w:firstLine="851"/>
      </w:pPr>
      <w:r>
        <w:t xml:space="preserve"> С учетом  проводимого укрупнения сельских поселений, с целью доступности жителей до органов власти на местах и повышения эффективности деятельности органов местного самоуправления предлагаем пересмотреть  для вновь образованных муниципальных образований нормативы по численности выборных должностных лиц местного самоуправления, муниципальных служащих и работников, замещающих должности, не относящиеся к муниципальной службе. В укрупненных муниципальных образованиях рекомендуем ввести должность заместителя главы сельской администрации.</w:t>
      </w:r>
    </w:p>
    <w:p w:rsidR="00424C60" w:rsidRDefault="00424C60" w:rsidP="009C635A">
      <w:pPr>
        <w:ind w:firstLine="851"/>
      </w:pPr>
      <w:r>
        <w:t>Также необходимо отметить, что Государственной Думой 19 марта текущего года в первом чтении принят проект Федерального закона «О внесении изменений в Федеральный закон от 06.10.2003 № 131-ФЗ «Об общих принципах организации местного самоуправления в Российской Федерации»</w:t>
      </w:r>
      <w:r w:rsidR="00025368">
        <w:t xml:space="preserve">. Данным проектом закона предусмотрено </w:t>
      </w:r>
      <w:r w:rsidR="00D56F08">
        <w:t xml:space="preserve"> появление в России нового вида муниципальных образований – муниципальных округов.</w:t>
      </w:r>
    </w:p>
    <w:p w:rsidR="00D56F08" w:rsidRDefault="00D56F08" w:rsidP="00D56F08">
      <w:pPr>
        <w:spacing w:line="360" w:lineRule="exact"/>
        <w:ind w:firstLine="709"/>
      </w:pPr>
      <w:r>
        <w:t xml:space="preserve">Муниципальные округа могут быть </w:t>
      </w:r>
      <w:r w:rsidR="00BC1685">
        <w:t>образованы,</w:t>
      </w:r>
      <w:r>
        <w:t xml:space="preserve"> в том числе путем объединения всех поселений, входящих в состав муниципального района, с утратой поселениями и муниципальным районом статуса муниципального образования.</w:t>
      </w:r>
    </w:p>
    <w:p w:rsidR="00BC1685" w:rsidRDefault="0076120F" w:rsidP="00D56F08">
      <w:pPr>
        <w:spacing w:line="360" w:lineRule="exact"/>
        <w:ind w:firstLine="709"/>
      </w:pPr>
      <w:r>
        <w:t>Считаем, что в случае введения данного типа муниципального образования, практику их создания можно рассмотреть для широкого применения на территории Брянской области.</w:t>
      </w: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BC1685">
      <w:r>
        <w:t>Директор департамента</w:t>
      </w:r>
    </w:p>
    <w:p w:rsidR="00BC1685" w:rsidRDefault="00BC1685" w:rsidP="00BC1685">
      <w:r>
        <w:t>внутренней политики</w:t>
      </w:r>
    </w:p>
    <w:p w:rsidR="00BC1685" w:rsidRDefault="00BC1685" w:rsidP="00BC1685">
      <w:r>
        <w:t>Брянской области                                                            И.А. Кириченко</w:t>
      </w: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p w:rsidR="00BC1685" w:rsidRDefault="00BC1685" w:rsidP="00D56F08">
      <w:pPr>
        <w:spacing w:line="360" w:lineRule="exact"/>
        <w:ind w:firstLine="709"/>
      </w:pPr>
    </w:p>
    <w:sectPr w:rsidR="00BC1685" w:rsidSect="00EE024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E1AC4"/>
    <w:multiLevelType w:val="hybridMultilevel"/>
    <w:tmpl w:val="AAAC2122"/>
    <w:lvl w:ilvl="0" w:tplc="C570D05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">
    <w:nsid w:val="71756742"/>
    <w:multiLevelType w:val="hybridMultilevel"/>
    <w:tmpl w:val="448C0ADE"/>
    <w:lvl w:ilvl="0" w:tplc="DCD8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5A"/>
    <w:rsid w:val="00025368"/>
    <w:rsid w:val="000652B8"/>
    <w:rsid w:val="00424C60"/>
    <w:rsid w:val="00427859"/>
    <w:rsid w:val="0062764A"/>
    <w:rsid w:val="00645FE0"/>
    <w:rsid w:val="0076120F"/>
    <w:rsid w:val="008103DC"/>
    <w:rsid w:val="0083155F"/>
    <w:rsid w:val="00950768"/>
    <w:rsid w:val="00993F39"/>
    <w:rsid w:val="009C635A"/>
    <w:rsid w:val="009D2708"/>
    <w:rsid w:val="00B05D44"/>
    <w:rsid w:val="00B61233"/>
    <w:rsid w:val="00BC1685"/>
    <w:rsid w:val="00C41F18"/>
    <w:rsid w:val="00D01431"/>
    <w:rsid w:val="00D56F08"/>
    <w:rsid w:val="00D75E0B"/>
    <w:rsid w:val="00DE57C9"/>
    <w:rsid w:val="00E1456E"/>
    <w:rsid w:val="00EE0240"/>
    <w:rsid w:val="00FA11BE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5A"/>
    <w:pPr>
      <w:spacing w:after="0" w:line="240" w:lineRule="auto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5A"/>
    <w:pPr>
      <w:ind w:left="720"/>
      <w:contextualSpacing/>
      <w:jc w:val="left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9C635A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63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C635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56F0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5A"/>
    <w:pPr>
      <w:spacing w:after="0" w:line="240" w:lineRule="auto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5A"/>
    <w:pPr>
      <w:ind w:left="720"/>
      <w:contextualSpacing/>
      <w:jc w:val="left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9C635A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63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C635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56F0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7634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Кураленко Оксана Григорьевна</cp:lastModifiedBy>
  <cp:revision>2</cp:revision>
  <dcterms:created xsi:type="dcterms:W3CDTF">2019-03-29T09:46:00Z</dcterms:created>
  <dcterms:modified xsi:type="dcterms:W3CDTF">2019-03-29T09:46:00Z</dcterms:modified>
</cp:coreProperties>
</file>