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CF" w:rsidRPr="009E1A46" w:rsidRDefault="00496DCF" w:rsidP="00496DCF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96DCF" w:rsidRPr="009E1A46" w:rsidRDefault="00496DCF" w:rsidP="00496DCF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496DCF" w:rsidRPr="009E1A46" w:rsidRDefault="00496DCF" w:rsidP="00496DCF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</w:p>
    <w:p w:rsidR="00496DCF" w:rsidRPr="009E1A46" w:rsidRDefault="00496DCF" w:rsidP="00496DCF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496DCF" w:rsidRPr="009E1A46" w:rsidRDefault="00496DCF" w:rsidP="00496D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6"/>
      <w:bookmarkEnd w:id="0"/>
      <w:r w:rsidRPr="009E1A46">
        <w:rPr>
          <w:rFonts w:ascii="Times New Roman" w:hAnsi="Times New Roman" w:cs="Times New Roman"/>
          <w:sz w:val="28"/>
          <w:szCs w:val="28"/>
        </w:rPr>
        <w:t>Порядок и методика</w:t>
      </w:r>
    </w:p>
    <w:p w:rsidR="00496DCF" w:rsidRPr="009E1A46" w:rsidRDefault="00496DCF" w:rsidP="00496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распределения дотаций на выравнивание</w:t>
      </w:r>
    </w:p>
    <w:p w:rsidR="00496DCF" w:rsidRPr="009E1A46" w:rsidRDefault="00496DCF" w:rsidP="00496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бюджетной обеспеченности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</w:p>
    <w:p w:rsidR="00496DCF" w:rsidRPr="009E1A46" w:rsidRDefault="00496DCF" w:rsidP="00496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округов в части реализации полномочий органов местного самоуправления поселений, в том числе порядок расчета и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установления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заменяющих указанные дотации (или их часть) дополнительных нормативов отчислений от налога на доходы физических лиц </w:t>
      </w:r>
    </w:p>
    <w:p w:rsidR="00496DCF" w:rsidRPr="009E1A46" w:rsidRDefault="00496DCF" w:rsidP="00496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местные бюджеты</w:t>
      </w:r>
    </w:p>
    <w:p w:rsidR="00496DCF" w:rsidRPr="009E1A46" w:rsidRDefault="00496DCF" w:rsidP="00496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1. Дотации на выравнивание бюджетной обеспеченности городских округов в части реализации полномочий органов местного самоуправления поселений распределяются с целью выравнивания финансовых возможностей городских округов области по осуществлению органами местного самоуправления полномочий по решению вопросов местного значения, идентичных полномочиям поселений.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2. Дотации на выравнивание бюджетной обеспеченности городских округов в части реализации полномочий органов местного самоуправления поселений образуют Региональный фонд финансовой поддержки поселений (городских округов) (далее - РФФПП (ГО)).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3. Общий объем дотаций на выравнивание бюджетной обеспеченности городских округов в части реализации полномочий органов местного самоуправления поселений (далее – дотации) на соответствующий финансовый год определяется по следующей формуле: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о ×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КкорРФФПП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(ГО), где: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Дот - общий объем дотаций на соответствующий финансовый год;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A4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объем дотаций в текущем финансовом году;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КкорРФФПП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(ГО) - коэффициент корректировки общего объема дотаций.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4. Дотации из РФФПП (ГО) бюджетам городских округов распределяются в следующем порядке: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Дот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ГО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=Дот×Hi×Kиi/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(Hi ×Kиi)</m:t>
            </m:r>
          </m:e>
        </m:nary>
      </m:oMath>
      <w:r w:rsidRPr="009E1A46">
        <w:rPr>
          <w:rFonts w:ascii="Times New Roman" w:hAnsi="Times New Roman" w:cs="Times New Roman"/>
          <w:sz w:val="28"/>
          <w:szCs w:val="28"/>
        </w:rPr>
        <w:t>, где: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>(ГО) - расчетный размер дотации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городскому округу из РФФПП (ГО);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Дот - общий объем дотаций;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- численность постоянного населения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 на начало года, следующего за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lastRenderedPageBreak/>
        <w:t>K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–коэффициент развития инфраструктуры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округа, определяемый Трехсторонней комиссией по межбюджетным отношениям в Брянской области при разработке и формировании расчета распределения дотаций;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E1A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городских округов.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5. Дотации из РФФПП (ГО) могут быть полностью или частично заменены дополнительными нормативами отчислений в бюджеты городских округов от налога на доходы физических лиц. Указанный дополнительный норматив рассчитывается по следующей формуле: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Нндфл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Дотi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(ГО) /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Пндфлi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× 100%, где: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Нндфл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- дополнительный норматив отчислений от налога на доходы физических лиц в бюджет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>(ГО) - расчетный размер дотации (или часть расчетного размера дотации)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городскому округу из РФФПП (ГО);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Пндфл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- прогнозируемый объем налога на доходы физических лиц, подлежащий зачислению в консолидированный бюджет области на территории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496DCF" w:rsidRPr="009E1A46" w:rsidRDefault="00496DCF" w:rsidP="00496D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6. Перечисление дотаций производится в соответствии со сводной бюджетной росписью областного бюджета и кассовым планом выплат. В пределах годовых назначений бюджетам городских округов могут предоставляться авансовые дотации на выравнивание бюджетной обеспеченности городских округов в части реализации полномочий органов местного самоуправления поселений.</w:t>
      </w:r>
    </w:p>
    <w:p w:rsidR="000725AF" w:rsidRDefault="000725AF">
      <w:bookmarkStart w:id="1" w:name="_GoBack"/>
      <w:bookmarkEnd w:id="1"/>
    </w:p>
    <w:sectPr w:rsidR="0007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CF"/>
    <w:rsid w:val="000725AF"/>
    <w:rsid w:val="0049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Кураленко Оксана Григорьевна</dc:creator>
  <cp:lastModifiedBy>Кураленко Оксана Григорьевна</cp:lastModifiedBy>
  <cp:revision>1</cp:revision>
  <dcterms:created xsi:type="dcterms:W3CDTF">2017-10-25T16:09:00Z</dcterms:created>
  <dcterms:modified xsi:type="dcterms:W3CDTF">2017-10-25T16:10:00Z</dcterms:modified>
</cp:coreProperties>
</file>