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C4" w:rsidRPr="009E1A46" w:rsidRDefault="00D04CC4" w:rsidP="00D04CC4">
      <w:pPr>
        <w:pStyle w:val="ConsPlusNormal"/>
        <w:tabs>
          <w:tab w:val="left" w:pos="5103"/>
          <w:tab w:val="left" w:pos="5387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Приложение 4</w:t>
      </w:r>
    </w:p>
    <w:p w:rsidR="00D04CC4" w:rsidRPr="009E1A46" w:rsidRDefault="00D04CC4" w:rsidP="00D04CC4">
      <w:pPr>
        <w:pStyle w:val="ConsPlusNormal"/>
        <w:tabs>
          <w:tab w:val="left" w:pos="5103"/>
          <w:tab w:val="left" w:pos="5387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к Закону Брянской области</w:t>
      </w:r>
    </w:p>
    <w:p w:rsidR="00D04CC4" w:rsidRPr="009E1A46" w:rsidRDefault="00D04CC4" w:rsidP="00D04CC4">
      <w:pPr>
        <w:pStyle w:val="ConsPlusNormal"/>
        <w:tabs>
          <w:tab w:val="left" w:pos="5103"/>
          <w:tab w:val="left" w:pos="5387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«О межбюджетных отношениях</w:t>
      </w:r>
    </w:p>
    <w:p w:rsidR="00D04CC4" w:rsidRPr="009E1A46" w:rsidRDefault="00D04CC4" w:rsidP="00D04CC4">
      <w:pPr>
        <w:pStyle w:val="ConsPlusNormal"/>
        <w:tabs>
          <w:tab w:val="left" w:pos="5103"/>
          <w:tab w:val="left" w:pos="5387"/>
        </w:tabs>
        <w:ind w:firstLine="5387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в Брянской области»</w:t>
      </w:r>
    </w:p>
    <w:p w:rsidR="00D04CC4" w:rsidRPr="009E1A46" w:rsidRDefault="00D04CC4" w:rsidP="00D04C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04CC4" w:rsidRPr="009E1A46" w:rsidRDefault="00D04CC4" w:rsidP="00D04C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76"/>
      <w:bookmarkEnd w:id="0"/>
      <w:r w:rsidRPr="009E1A46">
        <w:rPr>
          <w:rFonts w:ascii="Times New Roman" w:hAnsi="Times New Roman" w:cs="Times New Roman"/>
          <w:sz w:val="28"/>
          <w:szCs w:val="28"/>
        </w:rPr>
        <w:t>Порядок и методика</w:t>
      </w:r>
    </w:p>
    <w:p w:rsidR="00D04CC4" w:rsidRPr="009E1A46" w:rsidRDefault="00D04CC4" w:rsidP="00D04C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распределения дотаций на выравнивание</w:t>
      </w:r>
    </w:p>
    <w:p w:rsidR="00D04CC4" w:rsidRPr="009E1A46" w:rsidRDefault="00D04CC4" w:rsidP="00D04C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 xml:space="preserve">бюджетной обеспеченности 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</w:p>
    <w:p w:rsidR="00D04CC4" w:rsidRPr="009E1A46" w:rsidRDefault="00D04CC4" w:rsidP="00D04C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 xml:space="preserve">округов в части реализации полномочий органов местного самоуправления поселений, в том числе порядок расчета и 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установления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 заменяющих указанные дотации (или их часть) дополнительных нормативов отчислений от налога на доходы физических лиц </w:t>
      </w:r>
    </w:p>
    <w:p w:rsidR="00D04CC4" w:rsidRPr="009E1A46" w:rsidRDefault="00D04CC4" w:rsidP="00D04C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в местные бюджеты</w:t>
      </w:r>
    </w:p>
    <w:p w:rsidR="00D04CC4" w:rsidRPr="009E1A46" w:rsidRDefault="00D04CC4" w:rsidP="00D04C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1. Дотации на выравнивание бюджетной обеспеченности городских округов в части реализации полномочий органов местного самоуправления поселений распределяются с целью выравнивания финансовых возможностей городских округов области по осуществлению органами местного самоуправления полномочий по решению вопросов местного значения, идентичных полномочиям поселений.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2. Дотации на выравнивание бюджетной обеспеченности городских округов в части реализации полномочий органов местного самоуправления поселений образуют Региональный фонд финансовой поддержки поселений (городских округов) (далее - РФФПП (ГО)).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3. Общий объем дотаций на выравнивание бюджетной обеспеченности городских округов в части реализации полномочий органов местного самоуправления поселений (далее – дотации) на соответствующий финансовый год определяется по следующей формуле: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CC4" w:rsidRPr="009E1A46" w:rsidRDefault="00D04CC4" w:rsidP="00D04CC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Дот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 xml:space="preserve"> = Д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о × 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КкорРФФПП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(ГО), где: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Дот - общий объем дотаций на соответствующий финансовый год;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A4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 объем дотаций в текущем финансовом году;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КкорРФФПП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(ГО) - коэффициент корректировки общего объема дотаций.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4. Дотации из РФФПП (ГО) бюджетам городских округов распределяются в следующем порядке: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CC4" w:rsidRPr="009E1A46" w:rsidRDefault="00D04CC4" w:rsidP="00D04CC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Дот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ГО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=Дот×Hi×Kиi/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(Hi ×Kиi)</m:t>
            </m:r>
          </m:e>
        </m:nary>
      </m:oMath>
      <w:r w:rsidRPr="009E1A46">
        <w:rPr>
          <w:rFonts w:ascii="Times New Roman" w:hAnsi="Times New Roman" w:cs="Times New Roman"/>
          <w:sz w:val="28"/>
          <w:szCs w:val="28"/>
        </w:rPr>
        <w:t>, где: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Дот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9E1A46">
        <w:rPr>
          <w:rFonts w:ascii="Times New Roman" w:hAnsi="Times New Roman" w:cs="Times New Roman"/>
          <w:sz w:val="28"/>
          <w:szCs w:val="28"/>
        </w:rPr>
        <w:t>(ГО) - расчетный размер дотации i-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городскому округу из РФФПП (ГО);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Дот - общий объем дотаций;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Нi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- численность постоянного населения i-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городского округа на начало года, следующего за 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>;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lastRenderedPageBreak/>
        <w:t>K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–коэффициент развития инфраструктуры i-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городского округа, определяемый Трехсторонней комиссией по межбюджетным отношениям в Брянской области при разработке и формировании расчета распределения дотаций;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E1A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 городских округов.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5. Дотации из РФФПП (ГО) могут быть полностью или частично заменены дополнительными нормативами отчислений в бюджеты городских округов от налога на доходы физических лиц. Указанный дополнительный норматив рассчитывается по следующей формуле: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CC4" w:rsidRPr="009E1A46" w:rsidRDefault="00D04CC4" w:rsidP="00D04CC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Нндфл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доп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Дотi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(ГО) / 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Пндфлi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× 100%, где: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Нндфл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доп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 - дополнительный норматив отчислений от налога на доходы физических лиц в бюджет i-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Дот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9E1A46">
        <w:rPr>
          <w:rFonts w:ascii="Times New Roman" w:hAnsi="Times New Roman" w:cs="Times New Roman"/>
          <w:sz w:val="28"/>
          <w:szCs w:val="28"/>
        </w:rPr>
        <w:t>(ГО) - расчетный размер дотации (или часть расчетного размера дотации) i-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городскому округу из РФФПП (ГО);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Пндфл</w:t>
      </w:r>
      <w:proofErr w:type="gramStart"/>
      <w:r w:rsidRPr="009E1A4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9E1A46">
        <w:rPr>
          <w:rFonts w:ascii="Times New Roman" w:hAnsi="Times New Roman" w:cs="Times New Roman"/>
          <w:sz w:val="28"/>
          <w:szCs w:val="28"/>
        </w:rPr>
        <w:t xml:space="preserve"> - прогнозируемый объем налога на доходы физических лиц, подлежащий зачислению в консолидированный бюджет области на территории i-</w:t>
      </w:r>
      <w:proofErr w:type="spellStart"/>
      <w:r w:rsidRPr="009E1A4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E1A46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D04CC4" w:rsidRPr="009E1A46" w:rsidRDefault="00D04CC4" w:rsidP="00D04CC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E1A46">
        <w:rPr>
          <w:rFonts w:ascii="Times New Roman" w:hAnsi="Times New Roman" w:cs="Times New Roman"/>
          <w:sz w:val="28"/>
          <w:szCs w:val="28"/>
        </w:rPr>
        <w:t>6. Перечисление дотаций производится в соответствии со сводной бюджетной росписью областного бюджета и кассовым планом выплат. В пределах годовых назначений бюджетам городских округов могут предоставляться авансовые дотации на выравнивание бюджетной обеспеченности городских округов в части реализации полномочий органов местного самоуправления поселений.</w:t>
      </w:r>
      <w:bookmarkStart w:id="1" w:name="_GoBack"/>
      <w:bookmarkEnd w:id="1"/>
    </w:p>
    <w:sectPr w:rsidR="00D04CC4" w:rsidRPr="009E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C4"/>
    <w:rsid w:val="00D04CC4"/>
    <w:rsid w:val="00DE110D"/>
    <w:rsid w:val="00F8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4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4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Кураленко Оксана Григорьевна</dc:creator>
  <cp:lastModifiedBy>Boss</cp:lastModifiedBy>
  <cp:revision>2</cp:revision>
  <dcterms:created xsi:type="dcterms:W3CDTF">2016-11-09T09:13:00Z</dcterms:created>
  <dcterms:modified xsi:type="dcterms:W3CDTF">2017-02-15T14:37:00Z</dcterms:modified>
</cp:coreProperties>
</file>